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方正小标宋简体" w:cs="仿宋_GB2312"/>
          <w:sz w:val="32"/>
          <w:szCs w:val="32"/>
          <w:lang w:val="en-US" w:eastAsia="zh-CN"/>
        </w:rPr>
      </w:pPr>
      <w:r>
        <w:rPr>
          <w:rFonts w:hint="eastAsia" w:ascii="方正小标宋简体" w:hAnsi="方正小标宋简体" w:eastAsia="方正小标宋简体" w:cs="方正小标宋简体"/>
          <w:b w:val="0"/>
          <w:bCs w:val="0"/>
          <w:sz w:val="40"/>
          <w:szCs w:val="40"/>
        </w:rPr>
        <w:t>百色市田阳区202</w:t>
      </w:r>
      <w:r>
        <w:rPr>
          <w:rFonts w:hint="eastAsia" w:ascii="方正小标宋简体" w:hAnsi="方正小标宋简体" w:eastAsia="方正小标宋简体" w:cs="方正小标宋简体"/>
          <w:b w:val="0"/>
          <w:bCs w:val="0"/>
          <w:sz w:val="40"/>
          <w:szCs w:val="40"/>
          <w:lang w:val="en-US" w:eastAsia="zh-CN"/>
        </w:rPr>
        <w:t>5</w:t>
      </w:r>
      <w:r>
        <w:rPr>
          <w:rFonts w:hint="eastAsia" w:ascii="方正小标宋简体" w:hAnsi="方正小标宋简体" w:eastAsia="方正小标宋简体" w:cs="方正小标宋简体"/>
          <w:b w:val="0"/>
          <w:bCs w:val="0"/>
          <w:sz w:val="40"/>
          <w:szCs w:val="40"/>
        </w:rPr>
        <w:t>年特岗教师招聘</w:t>
      </w:r>
      <w:r>
        <w:rPr>
          <w:rFonts w:hint="eastAsia" w:ascii="方正小标宋简体" w:hAnsi="方正小标宋简体" w:eastAsia="方正小标宋简体" w:cs="方正小标宋简体"/>
          <w:b w:val="0"/>
          <w:bCs w:val="0"/>
          <w:sz w:val="40"/>
          <w:szCs w:val="40"/>
          <w:lang w:val="en-US" w:eastAsia="zh-CN"/>
        </w:rPr>
        <w:t>公告</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根据《自治区教育厅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自治区党委编办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自治区人力资源社会保障厅关于做好202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年特岗教师招聘工作的通知》（桂教特岗〔202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〕1号）精神，为做好我区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年特岗教师招聘工作，</w:t>
      </w:r>
      <w:r>
        <w:rPr>
          <w:rFonts w:hint="eastAsia" w:ascii="仿宋_GB2312" w:hAnsi="仿宋_GB2312" w:eastAsia="仿宋_GB2312" w:cs="仿宋_GB2312"/>
          <w:sz w:val="32"/>
          <w:szCs w:val="32"/>
          <w:lang w:val="en-US" w:eastAsia="zh-CN"/>
        </w:rPr>
        <w:t>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招聘计划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招聘人数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2025年计划</w:t>
      </w:r>
      <w:r>
        <w:rPr>
          <w:rFonts w:hint="eastAsia" w:ascii="仿宋_GB2312" w:hAnsi="仿宋_GB2312" w:eastAsia="仿宋_GB2312" w:cs="仿宋_GB2312"/>
          <w:sz w:val="32"/>
          <w:szCs w:val="32"/>
        </w:rPr>
        <w:t>招聘农村中小学特设岗位教师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rPr>
        <w:t>初中岗位</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名、</w:t>
      </w:r>
      <w:r>
        <w:rPr>
          <w:rFonts w:hint="default"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rPr>
        <w:t>小学岗位</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名</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rPr>
      </w:pPr>
      <w:r>
        <w:rPr>
          <w:rFonts w:hint="eastAsia" w:ascii="楷体" w:hAnsi="楷体" w:eastAsia="楷体" w:cs="楷体"/>
          <w:b/>
          <w:bCs/>
          <w:sz w:val="32"/>
          <w:szCs w:val="32"/>
        </w:rPr>
        <w:t>学科招聘特岗教师岗数</w:t>
      </w:r>
    </w:p>
    <w:tbl>
      <w:tblPr>
        <w:tblStyle w:val="4"/>
        <w:tblpPr w:leftFromText="180" w:rightFromText="180" w:vertAnchor="text" w:horzAnchor="page" w:tblpX="1097" w:tblpY="119"/>
        <w:tblOverlap w:val="never"/>
        <w:tblW w:w="10265" w:type="dxa"/>
        <w:tblInd w:w="0" w:type="dxa"/>
        <w:tblLayout w:type="fixed"/>
        <w:tblCellMar>
          <w:top w:w="0" w:type="dxa"/>
          <w:left w:w="108" w:type="dxa"/>
          <w:bottom w:w="0" w:type="dxa"/>
          <w:right w:w="108" w:type="dxa"/>
        </w:tblCellMar>
      </w:tblPr>
      <w:tblGrid>
        <w:gridCol w:w="620"/>
        <w:gridCol w:w="720"/>
        <w:gridCol w:w="546"/>
        <w:gridCol w:w="969"/>
        <w:gridCol w:w="538"/>
        <w:gridCol w:w="497"/>
        <w:gridCol w:w="495"/>
        <w:gridCol w:w="450"/>
        <w:gridCol w:w="840"/>
        <w:gridCol w:w="420"/>
        <w:gridCol w:w="495"/>
        <w:gridCol w:w="735"/>
        <w:gridCol w:w="420"/>
        <w:gridCol w:w="450"/>
        <w:gridCol w:w="450"/>
        <w:gridCol w:w="450"/>
        <w:gridCol w:w="450"/>
        <w:gridCol w:w="720"/>
      </w:tblGrid>
      <w:tr>
        <w:trPr>
          <w:trHeight w:val="522" w:hRule="atLeast"/>
        </w:trPr>
        <w:tc>
          <w:tcPr>
            <w:tcW w:w="6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区（市、区）</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学校</w:t>
            </w:r>
          </w:p>
          <w:p>
            <w:pPr>
              <w:widowControl/>
              <w:jc w:val="center"/>
              <w:rPr>
                <w:rFonts w:ascii="宋体" w:hAnsi="宋体" w:cs="宋体"/>
                <w:kern w:val="0"/>
                <w:sz w:val="24"/>
              </w:rPr>
            </w:pPr>
            <w:r>
              <w:rPr>
                <w:rFonts w:hint="eastAsia" w:ascii="宋体" w:hAnsi="宋体" w:cs="宋体"/>
                <w:kern w:val="0"/>
                <w:sz w:val="24"/>
              </w:rPr>
              <w:t>类别</w:t>
            </w:r>
          </w:p>
        </w:tc>
        <w:tc>
          <w:tcPr>
            <w:tcW w:w="8925" w:type="dxa"/>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eastAsiaTheme="minorEastAsia"/>
                <w:kern w:val="0"/>
                <w:sz w:val="24"/>
              </w:rPr>
              <w:t>分学科拟招聘特岗教师岗数量</w:t>
            </w:r>
          </w:p>
        </w:tc>
      </w:tr>
      <w:tr>
        <w:trPr>
          <w:trHeight w:val="1017" w:hRule="atLeast"/>
        </w:trPr>
        <w:tc>
          <w:tcPr>
            <w:tcW w:w="62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政治（思想品德）</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语文</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数学</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物理</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化学</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w:t>
            </w:r>
            <w:r>
              <w:rPr>
                <w:rFonts w:ascii="宋体" w:hAnsi="宋体"/>
                <w:kern w:val="0"/>
                <w:sz w:val="24"/>
              </w:rPr>
              <w:t xml:space="preserve"> </w:t>
            </w:r>
            <w:r>
              <w:rPr>
                <w:rFonts w:hint="eastAsia" w:ascii="宋体" w:hAnsi="宋体" w:cs="宋体"/>
                <w:kern w:val="0"/>
                <w:sz w:val="24"/>
              </w:rPr>
              <w:t>物</w:t>
            </w:r>
            <w:r>
              <w:rPr>
                <w:rFonts w:hint="eastAsia" w:ascii="宋体" w:hAnsi="宋体" w:cs="宋体"/>
                <w:kern w:val="0"/>
                <w:sz w:val="24"/>
              </w:rPr>
              <w:br w:type="textWrapping"/>
            </w:r>
            <w:r>
              <w:rPr>
                <w:rFonts w:hint="eastAsia" w:ascii="宋体" w:hAnsi="宋体" w:cs="宋体"/>
                <w:kern w:val="0"/>
                <w:sz w:val="24"/>
              </w:rPr>
              <w:t>（科学）</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历史</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地理</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信息技术</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英语</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体育</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音乐</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美术</w:t>
            </w:r>
          </w:p>
        </w:tc>
        <w:tc>
          <w:tcPr>
            <w:tcW w:w="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心理学</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综合实践活动</w:t>
            </w:r>
          </w:p>
        </w:tc>
      </w:tr>
      <w:tr>
        <w:tblPrEx>
          <w:tblCellMar>
            <w:top w:w="0" w:type="dxa"/>
            <w:left w:w="108" w:type="dxa"/>
            <w:bottom w:w="0" w:type="dxa"/>
            <w:right w:w="108" w:type="dxa"/>
          </w:tblCellMar>
        </w:tblPrEx>
        <w:trPr>
          <w:trHeight w:val="684" w:hRule="atLeast"/>
        </w:trPr>
        <w:tc>
          <w:tcPr>
            <w:tcW w:w="620"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田阳区</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农村</w:t>
            </w:r>
          </w:p>
          <w:p>
            <w:pPr>
              <w:widowControl/>
              <w:jc w:val="center"/>
              <w:rPr>
                <w:rFonts w:ascii="宋体" w:hAnsi="宋体" w:cs="宋体"/>
                <w:kern w:val="0"/>
                <w:sz w:val="24"/>
              </w:rPr>
            </w:pPr>
            <w:r>
              <w:rPr>
                <w:rFonts w:hint="eastAsia" w:ascii="宋体" w:hAnsi="宋体" w:cs="宋体"/>
                <w:kern w:val="0"/>
                <w:sz w:val="24"/>
              </w:rPr>
              <w:t>初中</w:t>
            </w:r>
          </w:p>
        </w:tc>
        <w:tc>
          <w:tcPr>
            <w:tcW w:w="546"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sz w:val="24"/>
                <w:lang w:val="en-US" w:eastAsia="zh-CN"/>
              </w:rPr>
            </w:pPr>
            <w:r>
              <w:rPr>
                <w:rFonts w:hint="eastAsia" w:ascii="宋体" w:hAnsi="宋体"/>
                <w:sz w:val="24"/>
                <w:lang w:val="en-US" w:eastAsia="zh-CN"/>
              </w:rPr>
              <w:t>24</w:t>
            </w:r>
          </w:p>
        </w:tc>
        <w:tc>
          <w:tcPr>
            <w:tcW w:w="969"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sz w:val="24"/>
                <w:lang w:val="en-US" w:eastAsia="zh-CN"/>
              </w:rPr>
            </w:pPr>
            <w:r>
              <w:rPr>
                <w:rFonts w:hint="eastAsia" w:ascii="宋体" w:hAnsi="宋体"/>
                <w:sz w:val="24"/>
                <w:lang w:val="en-US" w:eastAsia="zh-CN"/>
              </w:rPr>
              <w:t>4</w:t>
            </w:r>
          </w:p>
        </w:tc>
        <w:tc>
          <w:tcPr>
            <w:tcW w:w="53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10</w:t>
            </w:r>
          </w:p>
        </w:tc>
        <w:tc>
          <w:tcPr>
            <w:tcW w:w="497"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sz w:val="24"/>
                <w:lang w:val="en-US" w:eastAsia="zh-CN"/>
              </w:rPr>
            </w:pPr>
            <w:r>
              <w:rPr>
                <w:rFonts w:hint="eastAsia" w:ascii="宋体" w:hAnsi="宋体"/>
                <w:sz w:val="24"/>
                <w:lang w:val="en-US" w:eastAsia="zh-CN"/>
              </w:rPr>
              <w:t>0</w:t>
            </w:r>
          </w:p>
        </w:tc>
        <w:tc>
          <w:tcPr>
            <w:tcW w:w="495"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0</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0</w:t>
            </w:r>
          </w:p>
        </w:tc>
        <w:tc>
          <w:tcPr>
            <w:tcW w:w="8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0</w:t>
            </w:r>
          </w:p>
        </w:tc>
        <w:tc>
          <w:tcPr>
            <w:tcW w:w="42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6</w:t>
            </w:r>
          </w:p>
        </w:tc>
        <w:tc>
          <w:tcPr>
            <w:tcW w:w="49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Theme="minorEastAsia"/>
                <w:sz w:val="24"/>
                <w:lang w:eastAsia="zh-CN"/>
              </w:rPr>
            </w:pPr>
            <w:r>
              <w:rPr>
                <w:rFonts w:hint="eastAsia" w:ascii="宋体" w:hAnsi="宋体"/>
                <w:sz w:val="24"/>
                <w:lang w:val="en-US" w:eastAsia="zh-CN"/>
              </w:rPr>
              <w:t>0</w:t>
            </w:r>
          </w:p>
        </w:tc>
        <w:tc>
          <w:tcPr>
            <w:tcW w:w="73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0</w:t>
            </w:r>
          </w:p>
        </w:tc>
        <w:tc>
          <w:tcPr>
            <w:tcW w:w="42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sz w:val="24"/>
                <w:lang w:val="en-US" w:eastAsia="zh-CN"/>
              </w:rPr>
            </w:pPr>
            <w:r>
              <w:rPr>
                <w:rFonts w:hint="eastAsia" w:ascii="宋体" w:hAnsi="宋体"/>
                <w:sz w:val="24"/>
                <w:lang w:val="en-US" w:eastAsia="zh-CN"/>
              </w:rPr>
              <w:t>0</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2</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0</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2</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4"/>
                <w:lang w:eastAsia="zh-CN"/>
              </w:rPr>
            </w:pPr>
            <w:r>
              <w:rPr>
                <w:rFonts w:hint="eastAsia" w:ascii="宋体" w:hAnsi="宋体"/>
                <w:sz w:val="24"/>
                <w:lang w:val="en-US" w:eastAsia="zh-CN"/>
              </w:rPr>
              <w:t>0</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sz w:val="24"/>
              </w:rPr>
            </w:pPr>
            <w:r>
              <w:rPr>
                <w:rFonts w:ascii="宋体" w:hAnsi="宋体"/>
                <w:sz w:val="24"/>
              </w:rPr>
              <w:t>0</w:t>
            </w:r>
          </w:p>
        </w:tc>
      </w:tr>
      <w:tr>
        <w:trPr>
          <w:trHeight w:val="669" w:hRule="atLeast"/>
        </w:trPr>
        <w:tc>
          <w:tcPr>
            <w:tcW w:w="62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农村</w:t>
            </w:r>
            <w:r>
              <w:rPr>
                <w:rFonts w:hint="eastAsia" w:ascii="宋体" w:hAnsi="宋体" w:cs="宋体"/>
                <w:kern w:val="0"/>
                <w:sz w:val="24"/>
                <w:lang w:val="en-US" w:eastAsia="zh-CN"/>
              </w:rPr>
              <w:t>小学</w:t>
            </w:r>
          </w:p>
        </w:tc>
        <w:tc>
          <w:tcPr>
            <w:tcW w:w="546"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sz w:val="24"/>
                <w:lang w:val="en-US" w:eastAsia="zh-CN"/>
              </w:rPr>
            </w:pPr>
            <w:r>
              <w:rPr>
                <w:rFonts w:hint="eastAsia" w:ascii="宋体" w:hAnsi="宋体"/>
                <w:sz w:val="24"/>
                <w:lang w:val="en-US" w:eastAsia="zh-CN"/>
              </w:rPr>
              <w:t>2</w:t>
            </w:r>
          </w:p>
        </w:tc>
        <w:tc>
          <w:tcPr>
            <w:tcW w:w="96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0</w:t>
            </w:r>
          </w:p>
        </w:tc>
        <w:tc>
          <w:tcPr>
            <w:tcW w:w="53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49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49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0</w:t>
            </w:r>
          </w:p>
        </w:tc>
        <w:tc>
          <w:tcPr>
            <w:tcW w:w="4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42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0</w:t>
            </w:r>
          </w:p>
        </w:tc>
        <w:tc>
          <w:tcPr>
            <w:tcW w:w="49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7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4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sz w:val="24"/>
                <w:lang w:val="en-US" w:eastAsia="zh-CN"/>
              </w:rPr>
            </w:pPr>
            <w:r>
              <w:rPr>
                <w:rFonts w:hint="eastAsia" w:ascii="宋体" w:hAnsi="宋体"/>
                <w:sz w:val="24"/>
                <w:lang w:val="en-US" w:eastAsia="zh-CN"/>
              </w:rPr>
              <w:t>2</w:t>
            </w:r>
          </w:p>
        </w:tc>
        <w:tc>
          <w:tcPr>
            <w:tcW w:w="4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0</w:t>
            </w:r>
          </w:p>
        </w:tc>
        <w:tc>
          <w:tcPr>
            <w:tcW w:w="4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4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0</w:t>
            </w:r>
          </w:p>
        </w:tc>
        <w:tc>
          <w:tcPr>
            <w:tcW w:w="4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theme="minorBidi"/>
                <w:kern w:val="2"/>
                <w:sz w:val="24"/>
                <w:szCs w:val="24"/>
                <w:lang w:val="en-US" w:eastAsia="zh-CN" w:bidi="ar-SA"/>
              </w:rPr>
            </w:pPr>
            <w:r>
              <w:rPr>
                <w:rFonts w:hint="eastAsia" w:ascii="宋体" w:hAnsi="宋体"/>
                <w:sz w:val="24"/>
                <w:lang w:val="en-US" w:eastAsia="zh-CN"/>
              </w:rPr>
              <w:t>0</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theme="minorBidi"/>
                <w:kern w:val="2"/>
                <w:sz w:val="24"/>
                <w:szCs w:val="24"/>
                <w:lang w:val="en-US" w:eastAsia="zh-CN" w:bidi="ar-SA"/>
              </w:rPr>
            </w:pPr>
            <w:r>
              <w:rPr>
                <w:rFonts w:hint="eastAsia" w:ascii="宋体" w:hAnsi="宋体"/>
                <w:sz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、招聘对象及条件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lang w:val="en-US" w:eastAsia="zh-CN" w:bidi="ar"/>
        </w:rPr>
        <w:t>（一）</w:t>
      </w:r>
      <w:r>
        <w:rPr>
          <w:rFonts w:hint="default" w:ascii="Times New Roman" w:hAnsi="Times New Roman" w:eastAsia="仿宋_GB2312" w:cs="Times New Roman"/>
          <w:b w:val="0"/>
          <w:bCs w:val="0"/>
          <w:color w:val="auto"/>
          <w:kern w:val="0"/>
          <w:sz w:val="32"/>
          <w:szCs w:val="32"/>
          <w:highlight w:val="none"/>
          <w:lang w:val="en-US" w:eastAsia="zh-CN" w:bidi="ar-SA"/>
        </w:rPr>
        <w:t>政治素质好，热爱社会主义祖国，拥护党的各项方针、政策，热爱教育事业，有强烈的事业心和责任感，品行端正，</w:t>
      </w:r>
      <w:r>
        <w:rPr>
          <w:rFonts w:hint="eastAsia" w:ascii="Times New Roman" w:hAnsi="Times New Roman" w:eastAsia="仿宋_GB2312" w:cs="Times New Roman"/>
          <w:b w:val="0"/>
          <w:bCs w:val="0"/>
          <w:color w:val="auto"/>
          <w:kern w:val="0"/>
          <w:sz w:val="32"/>
          <w:szCs w:val="32"/>
          <w:highlight w:val="none"/>
          <w:lang w:val="en-US" w:eastAsia="zh-CN" w:bidi="ar-SA"/>
        </w:rPr>
        <w:t>遵</w:t>
      </w:r>
      <w:r>
        <w:rPr>
          <w:rFonts w:hint="default" w:ascii="Times New Roman" w:hAnsi="Times New Roman" w:eastAsia="仿宋_GB2312" w:cs="Times New Roman"/>
          <w:b w:val="0"/>
          <w:bCs w:val="0"/>
          <w:color w:val="auto"/>
          <w:kern w:val="0"/>
          <w:sz w:val="32"/>
          <w:szCs w:val="32"/>
          <w:highlight w:val="none"/>
          <w:lang w:val="en-US" w:eastAsia="zh-CN" w:bidi="ar-SA"/>
        </w:rPr>
        <w:t>纪守法。符合《中华人民共和国教师法》《教师资格条例》等法律法规规定的普通话水平、身体条件和心理条件。符合新时代中小学教师职业行为十项准则要求，无刑事犯罪记录和其他不得聘用的违纪记录。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（二）</w:t>
      </w:r>
      <w:r>
        <w:rPr>
          <w:rFonts w:hint="default" w:ascii="Times New Roman" w:hAnsi="Times New Roman" w:eastAsia="仿宋_GB2312" w:cs="Times New Roman"/>
          <w:b w:val="0"/>
          <w:bCs w:val="0"/>
          <w:color w:val="auto"/>
          <w:kern w:val="0"/>
          <w:sz w:val="32"/>
          <w:szCs w:val="32"/>
          <w:highlight w:val="none"/>
          <w:lang w:val="en-US" w:eastAsia="zh-CN" w:bidi="ar-SA"/>
        </w:rPr>
        <w:t>义务教育初中阶段要求本科及以上学历，以师范类专业为主；义务教育小学阶段，以师范类专业为主。年龄不超过35周岁（</w:t>
      </w:r>
      <w:bookmarkStart w:id="0" w:name="OLE_LINK9"/>
      <w:r>
        <w:rPr>
          <w:rFonts w:hint="default" w:ascii="Times New Roman" w:hAnsi="Times New Roman" w:eastAsia="仿宋_GB2312" w:cs="Times New Roman"/>
          <w:b w:val="0"/>
          <w:bCs w:val="0"/>
          <w:color w:val="auto"/>
          <w:kern w:val="0"/>
          <w:sz w:val="32"/>
          <w:szCs w:val="32"/>
          <w:highlight w:val="none"/>
          <w:lang w:val="en-US" w:eastAsia="zh-CN" w:bidi="ar-SA"/>
        </w:rPr>
        <w:t>年龄要求18周岁以上、35周岁以下，即为1989年</w:t>
      </w:r>
      <w:r>
        <w:rPr>
          <w:rFonts w:hint="eastAsia" w:ascii="Times New Roman" w:hAnsi="Times New Roman" w:eastAsia="仿宋_GB2312" w:cs="Times New Roman"/>
          <w:b w:val="0"/>
          <w:bCs w:val="0"/>
          <w:color w:val="auto"/>
          <w:kern w:val="0"/>
          <w:sz w:val="32"/>
          <w:szCs w:val="32"/>
          <w:highlight w:val="none"/>
          <w:lang w:val="en-US" w:eastAsia="zh-CN" w:bidi="ar-SA"/>
        </w:rPr>
        <w:t>6</w:t>
      </w:r>
      <w:r>
        <w:rPr>
          <w:rFonts w:hint="default" w:ascii="Times New Roman" w:hAnsi="Times New Roman" w:eastAsia="仿宋_GB2312" w:cs="Times New Roman"/>
          <w:b w:val="0"/>
          <w:bCs w:val="0"/>
          <w:color w:val="auto"/>
          <w:kern w:val="0"/>
          <w:sz w:val="32"/>
          <w:szCs w:val="32"/>
          <w:highlight w:val="none"/>
          <w:lang w:val="en-US" w:eastAsia="zh-CN" w:bidi="ar-SA"/>
        </w:rPr>
        <w:t>月</w:t>
      </w:r>
      <w:r>
        <w:rPr>
          <w:rFonts w:hint="eastAsia" w:ascii="Times New Roman" w:hAnsi="Times New Roman" w:eastAsia="仿宋_GB2312" w:cs="Times New Roman"/>
          <w:b w:val="0"/>
          <w:bCs w:val="0"/>
          <w:color w:val="auto"/>
          <w:kern w:val="0"/>
          <w:sz w:val="32"/>
          <w:szCs w:val="32"/>
          <w:highlight w:val="none"/>
          <w:lang w:val="en-US" w:eastAsia="zh-CN" w:bidi="ar-SA"/>
        </w:rPr>
        <w:t>5</w:t>
      </w:r>
      <w:r>
        <w:rPr>
          <w:rFonts w:hint="default" w:ascii="Times New Roman" w:hAnsi="Times New Roman" w:eastAsia="仿宋_GB2312" w:cs="Times New Roman"/>
          <w:b w:val="0"/>
          <w:bCs w:val="0"/>
          <w:color w:val="auto"/>
          <w:kern w:val="0"/>
          <w:sz w:val="32"/>
          <w:szCs w:val="32"/>
          <w:highlight w:val="none"/>
          <w:lang w:val="en-US" w:eastAsia="zh-CN" w:bidi="ar-SA"/>
        </w:rPr>
        <w:t>日至20</w:t>
      </w:r>
      <w:r>
        <w:rPr>
          <w:rFonts w:hint="eastAsia" w:ascii="Times New Roman" w:hAnsi="Times New Roman" w:eastAsia="仿宋_GB2312" w:cs="Times New Roman"/>
          <w:b w:val="0"/>
          <w:bCs w:val="0"/>
          <w:color w:val="auto"/>
          <w:kern w:val="0"/>
          <w:sz w:val="32"/>
          <w:szCs w:val="32"/>
          <w:highlight w:val="none"/>
          <w:lang w:val="en-US" w:eastAsia="zh-CN" w:bidi="ar-SA"/>
        </w:rPr>
        <w:t>07</w:t>
      </w:r>
      <w:r>
        <w:rPr>
          <w:rFonts w:hint="default" w:ascii="Times New Roman" w:hAnsi="Times New Roman" w:eastAsia="仿宋_GB2312" w:cs="Times New Roman"/>
          <w:b w:val="0"/>
          <w:bCs w:val="0"/>
          <w:color w:val="auto"/>
          <w:kern w:val="0"/>
          <w:sz w:val="32"/>
          <w:szCs w:val="32"/>
          <w:highlight w:val="none"/>
          <w:lang w:val="en-US" w:eastAsia="zh-CN" w:bidi="ar-SA"/>
        </w:rPr>
        <w:t>年6月5日</w:t>
      </w:r>
      <w:bookmarkEnd w:id="0"/>
      <w:r>
        <w:rPr>
          <w:rFonts w:hint="default" w:ascii="Times New Roman" w:hAnsi="Times New Roman" w:eastAsia="仿宋_GB2312" w:cs="Times New Roman"/>
          <w:b w:val="0"/>
          <w:bCs w:val="0"/>
          <w:color w:val="auto"/>
          <w:kern w:val="0"/>
          <w:sz w:val="32"/>
          <w:szCs w:val="32"/>
          <w:highlight w:val="none"/>
          <w:lang w:val="en-US" w:eastAsia="zh-CN" w:bidi="ar-SA"/>
        </w:rPr>
        <w:t>期间出生）。</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(三）</w:t>
      </w:r>
      <w:r>
        <w:rPr>
          <w:rFonts w:hint="default" w:ascii="Times New Roman" w:hAnsi="Times New Roman" w:eastAsia="仿宋_GB2312" w:cs="Times New Roman"/>
          <w:b/>
          <w:bCs/>
          <w:color w:val="auto"/>
          <w:kern w:val="0"/>
          <w:sz w:val="32"/>
          <w:szCs w:val="32"/>
          <w:highlight w:val="none"/>
          <w:lang w:val="en-US" w:eastAsia="zh-CN" w:bidi="ar-SA"/>
        </w:rPr>
        <w:t>符合招聘岗位要求，具有相应的教师资格证书。</w:t>
      </w:r>
      <w:r>
        <w:rPr>
          <w:rFonts w:hint="default" w:ascii="Times New Roman" w:hAnsi="Times New Roman" w:eastAsia="仿宋_GB2312" w:cs="Times New Roman"/>
          <w:b w:val="0"/>
          <w:bCs w:val="0"/>
          <w:color w:val="auto"/>
          <w:kern w:val="0"/>
          <w:sz w:val="32"/>
          <w:szCs w:val="32"/>
          <w:highlight w:val="none"/>
          <w:lang w:val="en-US" w:eastAsia="zh-CN" w:bidi="ar-SA"/>
        </w:rPr>
        <w:t>已取得教师资格证的考生应具有与报考岗位要求一致的教师资格证(教师资格证学段应不低于报考岗位学段</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SA"/>
        </w:rPr>
        <w:t>教师资格证学科符合报考岗位要求）</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SA"/>
        </w:rPr>
        <w:t>普通高校往届本科毕业生需具有相应的教师资格证书；暂未取得教师资格证书的2025年应届毕业生，可持在有效期内的全国中小学教师资格考试合格证明或师范生教师职业能力证书报名,拟聘人员在办理聘用手续前必须取得岗位要求的中小学教师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四）报名人员应同时符合教师资格条件要求和招聘岗位要求。应聘初中岗位的考生,所学专业与拟任教学科原则上应一致;应聘小学岗位的考生，没有对应专业岗位的考生，按文理科报考小学语文或小学数学岗位。报考英语、音乐、美术、体育岗位的考生，所学专业必须与岗位学科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五</w:t>
      </w:r>
      <w:r>
        <w:rPr>
          <w:rFonts w:hint="default" w:ascii="Times New Roman" w:hAnsi="Times New Roman" w:eastAsia="仿宋_GB2312" w:cs="Times New Roman"/>
          <w:b w:val="0"/>
          <w:bCs w:val="0"/>
          <w:color w:val="auto"/>
          <w:kern w:val="0"/>
          <w:sz w:val="32"/>
          <w:szCs w:val="32"/>
          <w:highlight w:val="none"/>
          <w:lang w:val="en-US" w:eastAsia="zh-CN" w:bidi="ar-SA"/>
        </w:rPr>
        <w:t>）</w:t>
      </w:r>
      <w:bookmarkStart w:id="1" w:name="OLE_LINK11"/>
      <w:r>
        <w:rPr>
          <w:rFonts w:hint="default" w:ascii="Times New Roman" w:hAnsi="Times New Roman" w:eastAsia="仿宋_GB2312" w:cs="Times New Roman"/>
          <w:b w:val="0"/>
          <w:bCs w:val="0"/>
          <w:color w:val="auto"/>
          <w:kern w:val="0"/>
          <w:sz w:val="32"/>
          <w:szCs w:val="32"/>
          <w:highlight w:val="none"/>
          <w:lang w:val="en-US" w:eastAsia="zh-CN" w:bidi="ar-SA"/>
        </w:rPr>
        <w:t>参加过“大学生志愿服务西部计划”、有从教经历的志愿者和参加过半年以上实习支教的师范专业毕业生同等条件下优先录取。支持鼓励符合条件的退役军人、优秀退役运动员到中小学任教，可综合考虑服役年限等因素对退役军人相应放宽年龄限制。</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六</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bCs/>
          <w:color w:val="auto"/>
          <w:kern w:val="0"/>
          <w:sz w:val="32"/>
          <w:szCs w:val="32"/>
          <w:highlight w:val="none"/>
          <w:lang w:val="en-US" w:eastAsia="zh-CN" w:bidi="ar-SA"/>
        </w:rPr>
        <w:t>有下列情形之一的人员，不得报考：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因犯罪受过刑事处罚的人员，被开除中国共产党党籍的人 员，被开除公职的人员；被依法列为失信联合惩戒对象人员。在 事业单位和特岗教师招聘中被认定有违纪违规行为且被记入诚 信档案库，目前仍在惩戒期的人员；服务期未满的定向培养人员、 特岗教师；在职在编公职人员；现役军人；法律法规规定的其他 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岗位涉及到的专业要求参照《广西壮族自治区公务员考试专业分类指导目录（2025年版）》（附件</w:t>
      </w:r>
      <w:r>
        <w:rPr>
          <w:rFonts w:hint="eastAsia" w:ascii="Times New Roman" w:hAnsi="Times New Roman" w:eastAsia="仿宋_GB2312" w:cs="Times New Roman"/>
          <w:b w:val="0"/>
          <w:bCs w:val="0"/>
          <w:color w:val="auto"/>
          <w:kern w:val="0"/>
          <w:sz w:val="32"/>
          <w:szCs w:val="32"/>
          <w:highlight w:val="none"/>
          <w:lang w:val="en-US" w:eastAsia="zh-CN" w:bidi="ar-SA"/>
        </w:rPr>
        <w:t>1</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五、招聘面试形式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以试讲方式进行课堂教学能力测试，试讲时间15分钟。面试题目由面试考官依据相应学科现行教材内容现场命题，参加教学能力测试的同科类考生讲同一课题，由专家评课组（考官）对所有试讲人员进行现场听课并当场评分，面试成绩满分为100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招聘</w:t>
      </w:r>
      <w:r>
        <w:rPr>
          <w:rFonts w:hint="eastAsia" w:ascii="黑体" w:hAnsi="黑体" w:eastAsia="黑体" w:cs="黑体"/>
          <w:color w:val="auto"/>
          <w:sz w:val="32"/>
          <w:szCs w:val="32"/>
          <w:lang w:val="en-US" w:eastAsia="zh-CN"/>
        </w:rPr>
        <w:t>方法、</w:t>
      </w:r>
      <w:r>
        <w:rPr>
          <w:rFonts w:hint="eastAsia" w:ascii="黑体" w:hAnsi="黑体" w:eastAsia="黑体" w:cs="黑体"/>
          <w:color w:val="auto"/>
          <w:sz w:val="32"/>
          <w:szCs w:val="32"/>
        </w:rPr>
        <w:t>程序</w:t>
      </w:r>
      <w:r>
        <w:rPr>
          <w:rFonts w:hint="eastAsia" w:ascii="黑体" w:hAnsi="黑体" w:eastAsia="黑体" w:cs="黑体"/>
          <w:color w:val="auto"/>
          <w:sz w:val="32"/>
          <w:szCs w:val="32"/>
          <w:lang w:val="en-US" w:eastAsia="zh-CN"/>
        </w:rPr>
        <w:t>及时间安排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rPr>
        <w:t>(一）报名</w:t>
      </w:r>
      <w:r>
        <w:rPr>
          <w:rFonts w:hint="eastAsia" w:ascii="楷体" w:hAnsi="楷体" w:eastAsia="楷体" w:cs="楷体"/>
          <w:b/>
          <w:bCs/>
          <w:color w:val="auto"/>
          <w:sz w:val="32"/>
          <w:szCs w:val="32"/>
          <w:lang w:val="en-US" w:eastAsia="zh-CN"/>
        </w:rPr>
        <w:t>及资格审查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本次招聘报名及资格审查采取网络方式进行，不设现场报名，不收取报名费。符合条件的应聘者登录广西特岗教师招聘网(网址: http://tgjszp.gxeduyun.edu.cn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按要求如实填写报名信息，包括本人基本信息和</w:t>
      </w:r>
      <w:r>
        <w:rPr>
          <w:rFonts w:hint="eastAsia" w:ascii="仿宋_GB2312" w:hAnsi="仿宋_GB2312" w:eastAsia="仿宋_GB2312" w:cs="仿宋_GB2312"/>
          <w:color w:val="auto"/>
          <w:sz w:val="32"/>
          <w:szCs w:val="32"/>
          <w:lang w:val="en-US" w:eastAsia="zh-CN"/>
        </w:rPr>
        <w:t>报考</w:t>
      </w:r>
      <w:r>
        <w:rPr>
          <w:rFonts w:hint="eastAsia" w:ascii="仿宋_GB2312" w:hAnsi="仿宋_GB2312" w:eastAsia="仿宋_GB2312" w:cs="仿宋_GB2312"/>
          <w:color w:val="auto"/>
          <w:sz w:val="32"/>
          <w:szCs w:val="32"/>
        </w:rPr>
        <w:t>岗位信息等。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1.报名时间：2025年6月5日-18日。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2.资格审查：资格审查工作于2025年6月25日完成。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3.报名及资格审查注意事项：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（1）报考人员应对在网上提交信息的真实性负责，凡弄虚作假者，一经查实，即取消考试资格或聘用资格，所造成的损失和责任由其本人承担。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（2）报考人员只能选择</w:t>
      </w:r>
      <w:r>
        <w:rPr>
          <w:rFonts w:hint="eastAsia" w:ascii="仿宋_GB2312" w:hAnsi="仿宋_GB2312" w:eastAsia="仿宋_GB2312" w:cs="仿宋_GB2312"/>
          <w:color w:val="auto"/>
          <w:sz w:val="32"/>
          <w:szCs w:val="32"/>
          <w:lang w:val="en-US" w:eastAsia="zh-CN"/>
        </w:rPr>
        <w:t>田阳区</w:t>
      </w:r>
      <w:r>
        <w:rPr>
          <w:rFonts w:hint="eastAsia" w:ascii="仿宋_GB2312" w:hAnsi="仿宋_GB2312" w:eastAsia="仿宋_GB2312" w:cs="仿宋_GB2312"/>
          <w:color w:val="auto"/>
          <w:sz w:val="32"/>
          <w:szCs w:val="32"/>
        </w:rPr>
        <w:t>招聘岗位中的一个职位进行报名，不能用新、旧两个身份证号同时报名，报名与考试使用的身份证必须一致。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凡报名应聘田阳区2025年农村义务教育学校教师特设岗位并通过广西特岗教师招聘网资格审查合格人员必须进行现场资格验证。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主要验证报考人员的身份证、毕业证、学位证、教师资格证、职业资格证及其他有关个人求职材料。复审不合格者，取消应聘资格。</w:t>
      </w:r>
      <w:r>
        <w:rPr>
          <w:rFonts w:hint="eastAsia" w:ascii="仿宋_GB2312" w:hAnsi="仿宋_GB2312" w:eastAsia="仿宋_GB2312" w:cs="仿宋_GB2312"/>
          <w:color w:val="auto"/>
          <w:sz w:val="32"/>
          <w:szCs w:val="32"/>
          <w:lang w:val="en-US" w:eastAsia="zh-CN"/>
        </w:rPr>
        <w:t>请进入面试范围人选按公告要求，通过直接送达的方式提供以下材料原件（当场核验后退回考生）及复印件(交面试资格审查单位)：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报名信息表》原件、本人二代有效居民身份证、本科毕业证书、学位证书、教育部学历证书电子注册备案表及学位在线验证报告（登录学信网打印）、教师资格证（或教师资格考试合格证明）、户口簿以及报考岗位所要求的其他资格条件的证明材料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2025年应届普通高校毕业生在面试资格审查阶段无法提供学历证书、学位证书的，要提供有效期内的全国中小学教师资格考试合格证明或师范生教师职业能力证书和普通话等级证书验证，及院校出具的证明材料或毕业学校盖章的毕业生就业推荐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以上需查验的证件均为原件和复印件(A4纸复印，按上述材料顺序排放</w:t>
      </w:r>
      <w:r>
        <w:rPr>
          <w:rFonts w:hint="eastAsia" w:ascii="仿宋_GB2312" w:hAnsi="仿宋_GB2312" w:eastAsia="仿宋_GB2312" w:cs="仿宋_GB2312"/>
          <w:color w:val="auto"/>
          <w:sz w:val="32"/>
          <w:szCs w:val="32"/>
          <w:lang w:val="en-US" w:eastAsia="zh-CN"/>
        </w:rPr>
        <w:t>，用纸质档案袋装好</w:t>
      </w:r>
      <w:r>
        <w:rPr>
          <w:rFonts w:hint="eastAsia" w:ascii="仿宋_GB2312" w:hAnsi="仿宋_GB2312" w:eastAsia="仿宋_GB2312" w:cs="仿宋_GB2312"/>
          <w:color w:val="auto"/>
          <w:sz w:val="32"/>
          <w:szCs w:val="32"/>
        </w:rPr>
        <w:t>)一式一份。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2.资格复审的时间及地点:202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日，上午8:30—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12:00，下午15:30——18:00。地点:田阳区教育局二楼会议室，联系电话:0776-3226562。由区人</w:t>
      </w:r>
      <w:r>
        <w:rPr>
          <w:rFonts w:hint="eastAsia" w:ascii="仿宋_GB2312" w:hAnsi="仿宋_GB2312" w:eastAsia="仿宋_GB2312" w:cs="仿宋_GB2312"/>
          <w:color w:val="auto"/>
          <w:sz w:val="32"/>
          <w:szCs w:val="32"/>
          <w:lang w:val="en-US" w:eastAsia="zh-CN"/>
        </w:rPr>
        <w:t>社局会同教</w:t>
      </w:r>
      <w:r>
        <w:rPr>
          <w:rFonts w:hint="eastAsia" w:ascii="仿宋_GB2312" w:hAnsi="仿宋_GB2312" w:eastAsia="仿宋_GB2312" w:cs="仿宋_GB2312"/>
          <w:color w:val="auto"/>
          <w:sz w:val="32"/>
          <w:szCs w:val="32"/>
        </w:rPr>
        <w:t>育部门对报考人员进行资格复审，复审</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合格</w:t>
      </w:r>
      <w:r>
        <w:rPr>
          <w:rFonts w:hint="eastAsia" w:ascii="仿宋_GB2312" w:hAnsi="仿宋_GB2312" w:eastAsia="仿宋_GB2312" w:cs="仿宋_GB2312"/>
          <w:color w:val="auto"/>
          <w:sz w:val="32"/>
          <w:szCs w:val="32"/>
          <w:lang w:val="en-US" w:eastAsia="zh-CN"/>
        </w:rPr>
        <w:t>者，取消应聘资格。凡在规定的时间内未到场参加资格复审的应聘人员，</w:t>
      </w:r>
      <w:r>
        <w:rPr>
          <w:rFonts w:hint="eastAsia" w:ascii="仿宋_GB2312" w:hAnsi="仿宋_GB2312" w:eastAsia="仿宋_GB2312" w:cs="仿宋_GB2312"/>
          <w:color w:val="auto"/>
          <w:sz w:val="32"/>
          <w:szCs w:val="32"/>
        </w:rPr>
        <w:t>视为自动放弃应聘资格。</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面试（岗位适应性测评)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1.参加对象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经资格复审符合招聘条件的应聘人员。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内容和程序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(1)岗位适应性测评的试讲内容为现行初中</w:t>
      </w:r>
      <w:r>
        <w:rPr>
          <w:rFonts w:hint="eastAsia" w:ascii="仿宋_GB2312" w:hAnsi="仿宋_GB2312" w:eastAsia="仿宋_GB2312" w:cs="仿宋_GB2312"/>
          <w:color w:val="auto"/>
          <w:sz w:val="32"/>
          <w:szCs w:val="32"/>
          <w:lang w:val="en-US" w:eastAsia="zh-CN"/>
        </w:rPr>
        <w:t>和小学</w:t>
      </w:r>
      <w:r>
        <w:rPr>
          <w:rFonts w:hint="eastAsia" w:ascii="仿宋_GB2312" w:hAnsi="仿宋_GB2312" w:eastAsia="仿宋_GB2312" w:cs="仿宋_GB2312"/>
          <w:color w:val="auto"/>
          <w:sz w:val="32"/>
          <w:szCs w:val="32"/>
        </w:rPr>
        <w:t>相应科目教材，教材由区招聘工作领导小组提供。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)应聘人员到指定地点集中，按学科分类进行抽签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确定面试顺序，并提前30分钟抽取课题进行备课（备课期间不准离开备课室，不得通过电话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信息等方式与外界的联系);备课时间达30分钟后由引导员引领到面试室进行测评，试讲时间为15分钟。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)面试成绩采取要素合成的体操记分法，即先分别计算每位考生的要素分值，在所有考官评出的要素分值中，去掉一个最高分和一个最低分，其余考官所评要素分值的平均值，即为该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考生在此要素上的得分，然后将各要素上的最后分值相加，便得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考生的面试成绩。考生面试总成绩保留小数点后两位。面试成绩低于60分者，不能列入体检人选。面试岗位开考比例达不到1:3的,此类岗位考生成绩须达到该考场面试满分值70%以上(含70%）的方可按招聘需求进入体检程序。当出现考生面试成绩相同时，以面试成绩相同考生的“教学实施能力”项得分排名，成绩高的确定为体检人选。若该项得分相同，则以考生的“教学设计能力”项得分排名，成绩高的确定为体检人选。面试成绩在面试结束当天当场公布，并由考生签字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日（星期六)，上午7:00考务工作人员到达考务办公室签到，7:20考生进入考场。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面试地点:百色市田阳区第一小学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面试工作方案由区教育局、人社局、财政局、编办等部门共同研究制定，区招聘工作领导小组组织实施，区人大、政协等部门全程监督。每一个考场设一个候考室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个备课室，一个面试室。候考室配备监督员和管理人员各一名。备课室配备管理人员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面试室配备监督员2名，计分员、计时员、核分员、引导员各一名，面试考官7名。由于招聘岗位专业性强，考官均从专业人员当中选派。招聘单位及主管部门不得向面试考官提供考生的个人信息，不得介绍考生与考官见面。严格实行面试考官与考生“双抽签”制度。考官按考生面试序号给予评分。考生面试时不得向考官透露本人姓名、籍贯等信息。凡透露的本人姓名的，面试成绩按零分处理，其余酌情扣减面试成绩3-5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(四）体检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面试成绩高低顺序﹐按岗位所需人数1:1确定体检人员。区招聘工作领导小组组织拟聘用人员到指定医疗机构进行体检。入围体检的报考人员不按规定时间、地点参加体检的，视为自动放弃体检资格。体检标准按照公务员录用体检标准执行。体检费用由报考人员承担。体检不合格者，不予聘用。空缺名额按岗位考生成绩排名顺序依次递补。如递补名额出现空缺，由区招聘工作领导小组根据实际情况进行岗位调剂递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(五）公示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合格的拟聘用人员名单按规定在广西特岗教师招聘网上向社会公示7个工作日。逾期没有反映问题或有反映问题但不影响聘用的，办理聘用手续，不得以任何借口拒收体检合格的人员。对反映有严重问题并查有实据的，不予聘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(六）公布拟聘人员名单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经公示无异议，由区人民政府公布聘用人员名单，并报自治区农村义务教育阶段学校教师特设岗位计划领导小组办公室备案。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(七）签订聘用合同并上岗任教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力资源和社会保障局、区教育局按照公办教师的聘用办法，与聘用人员签订聘用合同，并由区教育局统一派遣到设岗学校上岗任教。受聘教师必须服从统一安排，若在规定时间内不报到或不服从安排者,取消聘用资格。空缺的名额，可以按规定依次递补录用或者调剂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(八)岗前培训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为使新入职教师尽快适应教师的职业特点和要求,掌握教师工作的基本技能，加快适应教师角色，结合工作实际，对新入职教师进行师德师风、教学基本理论、专业教学技能等岗前理论知识培训。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本公告未尽事宜，按《关于做好2025年特岗教师招聘工作的通知》(桂教特岗〔2025〕1号)执行。</w:t>
      </w:r>
      <w:r>
        <w:rPr>
          <w:rFonts w:hint="eastAsia" w:ascii="仿宋_GB2312" w:hAnsi="仿宋_GB2312" w:eastAsia="仿宋_GB2312" w:cs="仿宋_GB2312"/>
          <w:color w:val="auto"/>
          <w:sz w:val="32"/>
          <w:szCs w:val="32"/>
        </w:rPr>
        <w:t>咨询电话：</w:t>
      </w:r>
      <w:r>
        <w:rPr>
          <w:rFonts w:hint="eastAsia" w:ascii="仿宋_GB2312" w:hAnsi="仿宋_GB2312" w:eastAsia="仿宋_GB2312" w:cs="仿宋_GB2312"/>
          <w:color w:val="auto"/>
          <w:sz w:val="32"/>
          <w:szCs w:val="32"/>
          <w:lang w:val="en-US" w:eastAsia="zh-CN"/>
        </w:rPr>
        <w:t>0776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3226562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附件：广西壮族自治区公务员考试专业分类指导目录（2025</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年版）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lang w:val="en-US" w:eastAsia="zh-CN"/>
        </w:rPr>
      </w:pPr>
      <w:bookmarkStart w:id="2" w:name="_GoBack"/>
      <w:r>
        <w:rPr>
          <w:rFonts w:hint="default" w:ascii="仿宋_GB2312" w:hAnsi="仿宋_GB2312" w:eastAsia="仿宋_GB2312" w:cs="仿宋_GB2312"/>
          <w:color w:val="auto"/>
          <w:sz w:val="32"/>
          <w:szCs w:val="32"/>
          <w:lang w:val="en-US" w:eastAsia="zh-CN"/>
        </w:rPr>
        <w:t>百色市田阳区</w:t>
      </w:r>
      <w:r>
        <w:rPr>
          <w:rFonts w:hint="eastAsia" w:ascii="仿宋_GB2312" w:hAnsi="仿宋_GB2312" w:eastAsia="仿宋_GB2312" w:cs="仿宋_GB2312"/>
          <w:color w:val="auto"/>
          <w:sz w:val="32"/>
          <w:szCs w:val="32"/>
          <w:lang w:val="en-US" w:eastAsia="zh-CN"/>
        </w:rPr>
        <w:t>教育局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2025年6月5日</w:t>
      </w:r>
      <w:bookmarkEnd w:id="2"/>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p>
    <w:sectPr>
      <w:pgSz w:w="11906" w:h="16838"/>
      <w:pgMar w:top="2041" w:right="1531" w:bottom="149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73FE0"/>
    <w:multiLevelType w:val="singleLevel"/>
    <w:tmpl w:val="09F73FE0"/>
    <w:lvl w:ilvl="0" w:tentative="0">
      <w:start w:val="2"/>
      <w:numFmt w:val="chineseCounting"/>
      <w:suff w:val="nothing"/>
      <w:lvlText w:val="(%1）"/>
      <w:lvlJc w:val="left"/>
      <w:pPr>
        <w:ind w:left="-10"/>
      </w:pPr>
      <w:rPr>
        <w:rFonts w:hint="eastAsia"/>
      </w:rPr>
    </w:lvl>
  </w:abstractNum>
  <w:abstractNum w:abstractNumId="1">
    <w:nsid w:val="219DB043"/>
    <w:multiLevelType w:val="singleLevel"/>
    <w:tmpl w:val="219DB043"/>
    <w:lvl w:ilvl="0" w:tentative="0">
      <w:start w:val="6"/>
      <w:numFmt w:val="chineseCounting"/>
      <w:suff w:val="nothing"/>
      <w:lvlText w:val="%1、"/>
      <w:lvlJc w:val="left"/>
      <w:rPr>
        <w:rFonts w:hint="eastAsia"/>
      </w:rPr>
    </w:lvl>
  </w:abstractNum>
  <w:abstractNum w:abstractNumId="2">
    <w:nsid w:val="471703F0"/>
    <w:multiLevelType w:val="multilevel"/>
    <w:tmpl w:val="471703F0"/>
    <w:lvl w:ilvl="0" w:tentative="0">
      <w:start w:val="1"/>
      <w:numFmt w:val="decimal"/>
      <w:lvlText w:val="第%1条"/>
      <w:lvlJc w:val="left"/>
      <w:pPr>
        <w:ind w:left="1559"/>
      </w:pPr>
      <w:rPr>
        <w:rFonts w:hint="eastAsia" w:eastAsia="微软雅黑"/>
        <w:b w:val="0"/>
        <w:i w:val="0"/>
        <w:sz w:val="24"/>
      </w:rPr>
    </w:lvl>
    <w:lvl w:ilvl="1" w:tentative="0">
      <w:start w:val="1"/>
      <w:numFmt w:val="none"/>
      <w:pStyle w:val="2"/>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578FA"/>
    <w:rsid w:val="002D5C4B"/>
    <w:rsid w:val="009F7ACC"/>
    <w:rsid w:val="043B582A"/>
    <w:rsid w:val="054F0775"/>
    <w:rsid w:val="08402B15"/>
    <w:rsid w:val="0BAF4061"/>
    <w:rsid w:val="0BDA7DFE"/>
    <w:rsid w:val="0C6E60F3"/>
    <w:rsid w:val="121D7B45"/>
    <w:rsid w:val="132C36C1"/>
    <w:rsid w:val="19437C60"/>
    <w:rsid w:val="1B48552F"/>
    <w:rsid w:val="1FD437EF"/>
    <w:rsid w:val="20FC7F19"/>
    <w:rsid w:val="22A578FA"/>
    <w:rsid w:val="24420114"/>
    <w:rsid w:val="254D7BE4"/>
    <w:rsid w:val="29A11347"/>
    <w:rsid w:val="2C6421B7"/>
    <w:rsid w:val="315C74BD"/>
    <w:rsid w:val="3176139D"/>
    <w:rsid w:val="323A1FEF"/>
    <w:rsid w:val="35FA439C"/>
    <w:rsid w:val="36EF042E"/>
    <w:rsid w:val="388D4D7E"/>
    <w:rsid w:val="3951499D"/>
    <w:rsid w:val="3B21743D"/>
    <w:rsid w:val="3CD502DC"/>
    <w:rsid w:val="3EBD617F"/>
    <w:rsid w:val="43B66B00"/>
    <w:rsid w:val="479F6947"/>
    <w:rsid w:val="4A5D6CA6"/>
    <w:rsid w:val="4C38270D"/>
    <w:rsid w:val="57611BEC"/>
    <w:rsid w:val="57763DF0"/>
    <w:rsid w:val="584C3F6D"/>
    <w:rsid w:val="58F704FF"/>
    <w:rsid w:val="59FB29AF"/>
    <w:rsid w:val="5AD22BA3"/>
    <w:rsid w:val="5B736D19"/>
    <w:rsid w:val="5BCF372B"/>
    <w:rsid w:val="5C7F1C0E"/>
    <w:rsid w:val="5DF21A92"/>
    <w:rsid w:val="5E3410AF"/>
    <w:rsid w:val="5FE00D6D"/>
    <w:rsid w:val="60944D82"/>
    <w:rsid w:val="60BB2B7B"/>
    <w:rsid w:val="622013DC"/>
    <w:rsid w:val="63E70CF4"/>
    <w:rsid w:val="65224245"/>
    <w:rsid w:val="6D761335"/>
    <w:rsid w:val="711534DC"/>
    <w:rsid w:val="71237E31"/>
    <w:rsid w:val="78D7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2023-06-11T09:00:00Z</dcterms:created>
  <dc:creator>Administrator</dc:creator>
  <cp:lastModifiedBy>黑玫瑰</cp:lastModifiedBy>
  <cp:lastPrinted>2025-06-06T08:21:51Z</cp:lastPrinted>
  <dcterms:modified xsi:type="dcterms:W3CDTF">2025-06-06T09:44:52Z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E478C89D78D34679BBC6FA91747AAF2D</vt:lpwstr>
  </property>
</Properties>
</file>