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spacing w:line="580" w:lineRule="exact"/>
        <w:rPr>
          <w:sz w:val="32"/>
          <w:szCs w:val="32"/>
          <w:rFonts w:ascii="Times New Roman" w:hAnsi="Times New Roman" w:eastAsia="黑体"/>
        </w:rPr>
      </w:pPr>
      <w:r>
        <w:rPr>
          <w:sz w:val="32"/>
          <w:szCs w:val="32"/>
          <w:rFonts w:ascii="Times New Roman" w:hAnsi="Times New Roman" w:eastAsia="黑体"/>
        </w:rPr>
        <w:t xml:space="preserve">附件2</w:t>
      </w:r>
      <w:r>
        <w:rPr>
          <w:sz w:val="32"/>
          <w:szCs w:val="32"/>
          <w:rFonts w:ascii="Times New Roman" w:hAnsi="Times New Roman" w:eastAsia="黑体"/>
        </w:rPr>
      </w:r>
    </w:p>
    <w:p>
      <w:pPr>
        <w:pStyle w:val="Normal"/>
        <w:spacing w:line="580" w:lineRule="exact"/>
        <w:rPr>
          <w:sz w:val="32"/>
          <w:szCs w:val="32"/>
          <w:rFonts w:ascii="Times New Roman" w:hAnsi="Times New Roman" w:eastAsia="仿宋"/>
        </w:rPr>
      </w:pPr>
      <w:r>
        <w:rPr>
          <w:sz w:val="32"/>
          <w:szCs w:val="32"/>
          <w:rFonts w:ascii="Times New Roman" w:hAnsi="Times New Roman" w:eastAsia="仿宋"/>
        </w:rPr>
      </w:r>
    </w:p>
    <w:p>
      <w:pPr>
        <w:pStyle w:val="Normal"/>
        <w:jc w:val="center"/>
        <w:spacing w:line="580" w:lineRule="exact"/>
        <w:rPr>
          <w:color w:val="000000"/>
          <w:sz w:val="44"/>
          <w:szCs w:val="44"/>
          <w:rFonts w:ascii="Times New Roman" w:hAnsi="Times New Roman" w:eastAsia="方正小标宋简体"/>
        </w:rPr>
      </w:pPr>
      <w:r>
        <w:rPr>
          <w:color w:val="000000"/>
          <w:sz w:val="44"/>
          <w:szCs w:val="44"/>
          <w:rFonts w:ascii="Times New Roman" w:hAnsi="Times New Roman" w:eastAsia="方正小标宋简体"/>
        </w:rPr>
        <w:t xml:space="preserve">海事系统2025年度公开招聘有关事项说明</w:t>
      </w:r>
      <w:r>
        <w:rPr>
          <w:color w:val="000000"/>
          <w:sz w:val="44"/>
          <w:szCs w:val="44"/>
          <w:rFonts w:ascii="Times New Roman" w:hAnsi="Times New Roman" w:eastAsia="方正小标宋简体"/>
        </w:rPr>
      </w:r>
    </w:p>
    <w:p>
      <w:pPr>
        <w:pStyle w:val="Normal"/>
        <w:jc w:val="center"/>
        <w:spacing w:line="580" w:lineRule="exact"/>
        <w:rPr>
          <w:color w:val="000000"/>
          <w:sz w:val="32"/>
          <w:szCs w:val="32"/>
          <w:rFonts w:ascii="Times New Roman" w:hAnsi="Times New Roman" w:eastAsia="仿宋"/>
        </w:rPr>
      </w:pPr>
      <w:r>
        <w:rPr>
          <w:color w:val="000000"/>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仿宋"/>
        </w:rPr>
      </w:pPr>
      <w:r>
        <w:rPr>
          <w:color w:val="000000"/>
          <w:sz w:val="32"/>
          <w:szCs w:val="32"/>
          <w:rFonts w:ascii="Times New Roman" w:hAnsi="Times New Roman" w:eastAsia="仿宋"/>
        </w:rPr>
        <w:t xml:space="preserve">海事系统2025年度公开招聘所有岗位均为京外事业单位的岗位。</w:t>
      </w:r>
      <w:r>
        <w:rPr>
          <w:color w:val="000000"/>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黑体"/>
        </w:rPr>
      </w:pPr>
      <w:r>
        <w:rPr>
          <w:color w:val="000000"/>
          <w:sz w:val="32"/>
          <w:szCs w:val="32"/>
          <w:rFonts w:ascii="Times New Roman" w:hAnsi="Times New Roman" w:eastAsia="黑体"/>
        </w:rPr>
        <w:t xml:space="preserve">一、关于招聘岗位类别和年龄条件</w:t>
      </w:r>
      <w:r>
        <w:rPr>
          <w:color w:val="000000"/>
          <w:sz w:val="32"/>
          <w:szCs w:val="32"/>
          <w:rFonts w:ascii="Times New Roman" w:hAnsi="Times New Roman" w:eastAsia="黑体"/>
        </w:rPr>
      </w:r>
    </w:p>
    <w:p>
      <w:pPr>
        <w:pStyle w:val="HtmlNormal"/>
        <w:jc w:val="both"/>
        <w:spacing w:after="0" w:afterAutospacing="0" w:before="0" w:beforeAutospacing="0" w:line="580" w:lineRule="exact"/>
        <w:ind w:firstLine="643" w:firstLineChars="200"/>
        <w:rPr>
          <w:b w:val="1"/>
          <w:color w:val="000000"/>
          <w:sz w:val="32"/>
          <w:szCs w:val="32"/>
          <w:bCs/>
          <w:rFonts w:ascii="Times New Roman" w:hAnsi="Times New Roman" w:eastAsia="仿宋"/>
        </w:rPr>
      </w:pPr>
      <w:r>
        <w:rPr>
          <w:b w:val="1"/>
          <w:color w:val="000000"/>
          <w:sz w:val="32"/>
          <w:szCs w:val="32"/>
          <w:bCs/>
          <w:rFonts w:ascii="Times New Roman" w:hAnsi="Times New Roman" w:eastAsia="仿宋"/>
        </w:rPr>
        <w:t xml:space="preserve">（一）招聘类别为应届毕业生的岗位。</w:t>
      </w:r>
      <w:r>
        <w:rPr>
          <w:b w:val="1"/>
          <w:color w:val="000000"/>
          <w:sz w:val="32"/>
          <w:szCs w:val="32"/>
          <w:bCs/>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仿宋"/>
        </w:rPr>
      </w:pPr>
      <w:r>
        <w:rPr>
          <w:color w:val="000000"/>
          <w:sz w:val="32"/>
          <w:szCs w:val="32"/>
          <w:rFonts w:ascii="Times New Roman" w:hAnsi="Times New Roman" w:eastAsia="仿宋"/>
        </w:rPr>
        <w:t xml:space="preserve">应聘人员应为2025年1月至8月期间毕业的全国普通高等学校应届毕业生（对应届博士研究生要求为2025年1月至12月期间毕业），或2023、2024年毕业且毕业后一直未就业的全国普通高等学校毕业生。</w:t>
      </w:r>
      <w:r>
        <w:rPr>
          <w:color w:val="000000"/>
          <w:sz w:val="32"/>
          <w:szCs w:val="32"/>
          <w:rFonts w:ascii="Times New Roman" w:hAnsi="Times New Roman" w:eastAsia="仿宋"/>
        </w:rPr>
      </w:r>
    </w:p>
    <w:p>
      <w:pPr>
        <w:pStyle w:val="HtmlNormal"/>
        <w:jc w:val="both"/>
        <w:spacing w:after="0" w:afterAutospacing="0" w:before="0" w:beforeAutospacing="0" w:line="580" w:lineRule="exact"/>
        <w:ind w:firstLine="643" w:firstLineChars="200"/>
        <w:rPr>
          <w:b w:val="1"/>
          <w:color w:val="000000"/>
          <w:sz w:val="32"/>
          <w:szCs w:val="32"/>
          <w:bCs/>
          <w:rFonts w:ascii="Times New Roman" w:hAnsi="Times New Roman" w:eastAsia="仿宋"/>
        </w:rPr>
      </w:pPr>
      <w:r>
        <w:rPr>
          <w:b w:val="1"/>
          <w:color w:val="000000"/>
          <w:sz w:val="32"/>
          <w:szCs w:val="32"/>
          <w:bCs/>
          <w:rFonts w:ascii="Times New Roman" w:hAnsi="Times New Roman" w:eastAsia="仿宋"/>
        </w:rPr>
        <w:t xml:space="preserve">（二）招聘类别为社会人员的岗位。</w:t>
      </w:r>
      <w:r>
        <w:rPr>
          <w:b w:val="1"/>
          <w:color w:val="000000"/>
          <w:sz w:val="32"/>
          <w:szCs w:val="32"/>
          <w:bCs/>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仿宋"/>
        </w:rPr>
      </w:pPr>
      <w:r>
        <w:rPr>
          <w:color w:val="000000"/>
          <w:sz w:val="32"/>
          <w:szCs w:val="32"/>
          <w:rFonts w:ascii="Times New Roman" w:hAnsi="Times New Roman" w:eastAsia="仿宋"/>
        </w:rPr>
        <w:t xml:space="preserve">社会在职人员、待业人员、2025年8月底前毕业的全国普通高等学校毕业生或境外高等学校毕业生，同时符合招聘岗位的专业、学历、学位和其他要求的，均可应聘。</w:t>
      </w:r>
      <w:r>
        <w:rPr>
          <w:color w:val="000000"/>
          <w:sz w:val="32"/>
          <w:szCs w:val="32"/>
          <w:rFonts w:ascii="Times New Roman" w:hAnsi="Times New Roman" w:eastAsia="仿宋"/>
        </w:rPr>
      </w:r>
    </w:p>
    <w:p>
      <w:pPr>
        <w:pStyle w:val="HtmlNormal"/>
        <w:jc w:val="both"/>
        <w:spacing w:after="0" w:afterAutospacing="0" w:before="0" w:beforeAutospacing="0" w:line="580" w:lineRule="exact"/>
        <w:ind w:firstLine="643" w:firstLineChars="200"/>
        <w:rPr>
          <w:b w:val="1"/>
          <w:color w:val="000000"/>
          <w:sz w:val="32"/>
          <w:szCs w:val="32"/>
          <w:bCs/>
          <w:rFonts w:ascii="Times New Roman" w:hAnsi="Times New Roman" w:eastAsia="仿宋"/>
        </w:rPr>
      </w:pPr>
      <w:r>
        <w:rPr>
          <w:b w:val="1"/>
          <w:color w:val="000000"/>
          <w:sz w:val="32"/>
          <w:szCs w:val="32"/>
          <w:bCs/>
          <w:rFonts w:ascii="Times New Roman" w:hAnsi="Times New Roman" w:eastAsia="仿宋"/>
        </w:rPr>
        <w:t xml:space="preserve">（三）所有招聘岗位的年龄条件。</w:t>
      </w:r>
      <w:r>
        <w:rPr>
          <w:b w:val="1"/>
          <w:color w:val="000000"/>
          <w:sz w:val="32"/>
          <w:szCs w:val="32"/>
          <w:bCs/>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一般为年满18周岁且年龄不超过35周岁（1990年1月至2006年12月期间出生），</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对于符合下列情形之一的，年龄放宽至不超过40周岁（1985年1月至2006年12月期间出生）。</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1.2025年应届博士研究生；</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2.报名时已取得博士学位的人员；</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3.具有相当于中级职称的船员适任证书人员；</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4.具有招聘岗位相关专业的中级职称人员（例如，具有会计中级职称人员报考会计专业岗位，具有人力资源中级职称人员报考人力资源专业岗位）。</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第3点中“相当于中级职称的船员适任证书”包括：无限航区、沿海航区二等及以上大副、船长，沿海航区三等船长（100GT及以上），内河一类大副、船长，内河二类船长，海上非自航工程船舶一等船长，沿海公务船一等船长；无限航区、沿海航区二等及以上大管轮、轮机长，沿海航区三等轮机长（220KW及以上），内河一类大管轮、轮机长，内河二类轮机长，海上非自航工程船舶一等轮机长，沿海公务船一等轮机长；一级无线电电子员、实际担任满42个月的电子电气员；海港、内河二级、一级引航员；以及其他人力资源社会保障部门认可的相当于中级职称的船员适任证书。</w:t>
      </w:r>
      <w:r>
        <w:rPr>
          <w:sz w:val="32"/>
          <w:szCs w:val="32"/>
          <w:rFonts w:ascii="Times New Roman" w:hAnsi="Times New Roman" w:eastAsia="仿宋"/>
        </w:rPr>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黑体"/>
        </w:rPr>
      </w:pPr>
      <w:r>
        <w:rPr>
          <w:color w:val="000000"/>
          <w:sz w:val="32"/>
          <w:szCs w:val="32"/>
          <w:rFonts w:ascii="Times New Roman" w:hAnsi="Times New Roman" w:eastAsia="黑体"/>
        </w:rPr>
        <w:t xml:space="preserve">二、关于资格条件的取得时间和有关岗位英语水平的审查</w:t>
      </w:r>
      <w:r>
        <w:rPr>
          <w:color w:val="000000"/>
          <w:sz w:val="32"/>
          <w:szCs w:val="32"/>
          <w:rFonts w:ascii="Times New Roman" w:hAnsi="Times New Roman" w:eastAsia="黑体"/>
        </w:rPr>
      </w:r>
    </w:p>
    <w:p>
      <w:pPr>
        <w:pStyle w:val="HtmlNormal"/>
        <w:widowControl w:val="0"/>
        <w:jc w:val="both"/>
        <w:spacing w:after="0" w:afterAutospacing="0" w:before="0" w:beforeAutospacing="0" w:line="580" w:lineRule="exact"/>
        <w:ind w:firstLine="643" w:firstLineChars="200"/>
        <w:rPr>
          <w:b w:val="1"/>
          <w:sz w:val="32"/>
          <w:szCs w:val="32"/>
          <w:bCs/>
          <w:rFonts w:ascii="Times New Roman" w:hAnsi="Times New Roman" w:eastAsia="仿宋"/>
        </w:rPr>
      </w:pPr>
      <w:r>
        <w:rPr>
          <w:b w:val="1"/>
          <w:sz w:val="32"/>
          <w:szCs w:val="32"/>
          <w:bCs/>
          <w:rFonts w:ascii="Times New Roman" w:hAnsi="Times New Roman" w:eastAsia="仿宋"/>
        </w:rPr>
        <w:t xml:space="preserve">（一）招聘岗位要求的各项资格条件截止时间。</w:t>
      </w:r>
      <w:r>
        <w:rPr>
          <w:b w:val="1"/>
          <w:sz w:val="32"/>
          <w:szCs w:val="32"/>
          <w:bCs/>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1.2025年1月至8月之间毕业的全国普通高等学校应届毕业生和境外高等学校毕业生，其学历和学位证书、船员适任考试合格证明（须在有效期内）、参加国家海事管理机构航海教育培训质量评估结果为优异的高校组织的无限航区二副或二管轮对应的全部理论科目考试合格成绩、英语专业八级证书，可在2025年8月31日前取得。对</w:t>
      </w:r>
      <w:r>
        <w:rPr>
          <w:color w:val="000000"/>
          <w:sz w:val="32"/>
          <w:szCs w:val="32"/>
          <w:rFonts w:ascii="Times New Roman" w:hAnsi="Times New Roman" w:eastAsia="仿宋"/>
        </w:rPr>
        <w:t xml:space="preserve">应届博士研究生的要求为2025年12月31日前取得。</w:t>
      </w:r>
      <w:r>
        <w:rPr>
          <w:sz w:val="32"/>
          <w:szCs w:val="32"/>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2.除上述第1点所列情况外，招聘岗位要求的各项资格条件，应聘人员应在报名前取得。</w:t>
      </w:r>
      <w:r>
        <w:rPr>
          <w:sz w:val="32"/>
          <w:szCs w:val="32"/>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（二）下列情况均视同为符合全国大学英语四级考试（CET4）成绩达到425分及以上的要求。</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1.获得大学英语四级（CET4）合格及以上证书；</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2.获得公共英语等级考试三级（PETS3）及以上合格证书；</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3.雅思（IELTS）考试5.5分及以上；</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4.托福（TOEFL）考试70分及以上；</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5.取得大学英语六级（CET6）合格及以上证书或CET6考试成绩达到425分及以上；</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6.取得英语专业四级或专业八级合格及以上证书。</w:t>
      </w:r>
      <w:r>
        <w:rPr>
          <w:sz w:val="32"/>
          <w:szCs w:val="32"/>
          <w:rFonts w:ascii="Times New Roman" w:hAnsi="Times New Roman" w:eastAsia="仿宋"/>
        </w:rPr>
      </w:r>
    </w:p>
    <w:p>
      <w:pPr>
        <w:pStyle w:val="HtmlNormal"/>
        <w:widowControl w:val="0"/>
        <w:jc w:val="both"/>
        <w:spacing w:after="0" w:afterAutospacing="0" w:before="0" w:beforeAutospacing="0" w:line="580" w:lineRule="exact"/>
        <w:ind w:firstLine="643" w:firstLineChars="200"/>
        <w:rPr>
          <w:b w:val="1"/>
          <w:sz w:val="32"/>
          <w:szCs w:val="32"/>
          <w:bCs/>
          <w:rFonts w:ascii="Times New Roman" w:hAnsi="Times New Roman" w:eastAsia="仿宋"/>
        </w:rPr>
      </w:pPr>
      <w:r>
        <w:rPr>
          <w:b w:val="1"/>
          <w:sz w:val="32"/>
          <w:szCs w:val="32"/>
          <w:bCs/>
          <w:rFonts w:ascii="Times New Roman" w:hAnsi="Times New Roman" w:eastAsia="仿宋"/>
        </w:rPr>
        <w:t xml:space="preserve">（三）下列情况均视同为符合全国大学英语六级考试（CET6）成绩达到425分及以上的要求。</w:t>
      </w:r>
      <w:r>
        <w:rPr>
          <w:b w:val="1"/>
          <w:sz w:val="32"/>
          <w:szCs w:val="32"/>
          <w:bCs/>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1.获得大学英语六级（CET6）合格及以上证书；</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2.获得公共英语等级考试四级（PETS4）及以上合格证书；</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3.雅思（IELTS）考试6分及以上；</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4.托福（TOEFL）考试80分及以上；</w:t>
      </w:r>
      <w:r>
        <w:rPr>
          <w:sz w:val="32"/>
          <w:szCs w:val="32"/>
          <w:rFonts w:ascii="Times New Roman" w:hAnsi="Times New Roman" w:eastAsia="仿宋"/>
        </w:rPr>
      </w:r>
    </w:p>
    <w:p>
      <w:pPr>
        <w:pStyle w:val="Normal"/>
        <w:spacing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5.取得英语专业四级或专业八级合格及以上证书。</w:t>
      </w:r>
      <w:r>
        <w:rPr>
          <w:sz w:val="32"/>
          <w:szCs w:val="32"/>
          <w:rFonts w:ascii="Times New Roman" w:hAnsi="Times New Roman" w:eastAsia="仿宋"/>
        </w:rPr>
      </w:r>
    </w:p>
    <w:p>
      <w:pPr>
        <w:pStyle w:val="HtmlNormal"/>
        <w:jc w:val="both"/>
        <w:spacing w:after="0" w:afterAutospacing="0" w:before="0" w:beforeAutospacing="0" w:line="580" w:lineRule="exact"/>
        <w:ind w:firstLine="640" w:firstLineChars="200"/>
        <w:rPr>
          <w:color w:val="000000"/>
          <w:sz w:val="32"/>
          <w:szCs w:val="32"/>
          <w:rFonts w:ascii="Times New Roman" w:hAnsi="Times New Roman" w:eastAsia="黑体"/>
        </w:rPr>
      </w:pPr>
      <w:r>
        <w:rPr>
          <w:color w:val="000000"/>
          <w:sz w:val="32"/>
          <w:szCs w:val="32"/>
          <w:rFonts w:ascii="Times New Roman" w:hAnsi="Times New Roman" w:eastAsia="黑体"/>
        </w:rPr>
        <w:t xml:space="preserve">三、关于岗位招聘计划核减或取消</w:t>
      </w:r>
      <w:r>
        <w:rPr>
          <w:color w:val="000000"/>
          <w:sz w:val="32"/>
          <w:szCs w:val="32"/>
          <w:rFonts w:ascii="Times New Roman" w:hAnsi="Times New Roman" w:eastAsia="黑体"/>
        </w:rPr>
      </w:r>
    </w:p>
    <w:p>
      <w:pPr>
        <w:pStyle w:val="HtmlNormal"/>
        <w:widowControl w:val="0"/>
        <w:jc w:val="both"/>
        <w:spacing w:after="0" w:afterAutospacing="0" w:before="0" w:beforeAutospacing="0" w:line="580" w:lineRule="exact"/>
        <w:ind w:firstLine="640" w:firstLineChars="200"/>
        <w:rPr>
          <w:color w:val="000000"/>
          <w:sz w:val="32"/>
          <w:szCs w:val="32"/>
          <w:rFonts w:ascii="Times New Roman" w:hAnsi="Times New Roman" w:eastAsia="仿宋"/>
        </w:rPr>
      </w:pPr>
      <w:r>
        <w:rPr>
          <w:color w:val="000000"/>
          <w:sz w:val="32"/>
          <w:szCs w:val="32"/>
          <w:rFonts w:ascii="Times New Roman" w:hAnsi="Times New Roman" w:eastAsia="仿宋"/>
        </w:rPr>
        <w:t xml:space="preserve">同一岗位通过资格审查人数与该岗位计划招聘人数比例达到3比1的应当开考。要求具有博士学位或</w:t>
      </w:r>
      <w:r>
        <w:rPr>
          <w:sz w:val="32"/>
          <w:szCs w:val="32"/>
          <w:rFonts w:ascii="Times New Roman" w:hAnsi="Times New Roman" w:eastAsia="仿宋"/>
        </w:rPr>
        <w:t xml:space="preserve">具有相当于中级及以上职称的船员适任证书的岗位，</w:t>
      </w:r>
      <w:r>
        <w:rPr>
          <w:color w:val="000000"/>
          <w:sz w:val="32"/>
          <w:szCs w:val="32"/>
          <w:rFonts w:ascii="Times New Roman" w:hAnsi="Times New Roman" w:eastAsia="仿宋"/>
        </w:rPr>
        <w:t xml:space="preserve">达不到该比例的予以开考；其他岗</w:t>
      </w:r>
      <w:r>
        <w:rPr>
          <w:sz w:val="32"/>
          <w:szCs w:val="32"/>
          <w:rFonts w:ascii="Times New Roman" w:hAnsi="Times New Roman" w:eastAsia="仿宋"/>
        </w:rPr>
        <w:t xml:space="preserve">位达不到该比例的，核减招聘人数，直至取消该岗位。具体举例说明如下：</w:t>
      </w:r>
      <w:r>
        <w:rPr>
          <w:sz w:val="32"/>
          <w:szCs w:val="32"/>
          <w:rFonts w:ascii="Times New Roman" w:hAnsi="Times New Roman" w:eastAsia="仿宋"/>
        </w:rPr>
      </w:r>
    </w:p>
    <w:p>
      <w:pPr>
        <w:pStyle w:val="HtmlNormal"/>
        <w:widowControl w:val="0"/>
        <w:jc w:val="both"/>
        <w:spacing w:after="0" w:afterAutospacing="0" w:before="0" w:beforeAutospacing="0" w:line="580" w:lineRule="exact"/>
        <w:ind w:firstLine="643" w:firstLineChars="200"/>
        <w:rPr>
          <w:b w:val="1"/>
          <w:sz w:val="32"/>
          <w:szCs w:val="32"/>
          <w:bCs/>
          <w:rFonts w:ascii="Times New Roman" w:hAnsi="Times New Roman" w:eastAsia="仿宋"/>
        </w:rPr>
      </w:pPr>
      <w:r>
        <w:rPr>
          <w:b w:val="1"/>
          <w:sz w:val="32"/>
          <w:szCs w:val="32"/>
          <w:bCs/>
          <w:rFonts w:ascii="Times New Roman" w:hAnsi="Times New Roman" w:eastAsia="仿宋"/>
        </w:rPr>
        <w:t xml:space="preserve">（一）招聘2人的岗位。</w:t>
      </w:r>
      <w:r>
        <w:rPr>
          <w:b w:val="1"/>
          <w:sz w:val="32"/>
          <w:szCs w:val="32"/>
          <w:bCs/>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若只有3到5人通过报名资格审查，则招聘人数调减至1人。</w:t>
      </w:r>
      <w:r>
        <w:rPr>
          <w:sz w:val="32"/>
          <w:szCs w:val="32"/>
          <w:rFonts w:ascii="Times New Roman" w:hAnsi="Times New Roman" w:eastAsia="仿宋"/>
        </w:rPr>
      </w:r>
    </w:p>
    <w:p>
      <w:pPr>
        <w:pStyle w:val="HtmlNormal"/>
        <w:widowControl w:val="0"/>
        <w:jc w:val="both"/>
        <w:spacing w:after="0" w:afterAutospacing="0" w:before="0" w:beforeAutospacing="0" w:line="580" w:lineRule="exact"/>
        <w:ind w:firstLine="643" w:firstLineChars="200"/>
        <w:rPr>
          <w:b w:val="1"/>
          <w:sz w:val="32"/>
          <w:szCs w:val="32"/>
          <w:bCs/>
          <w:rFonts w:ascii="Times New Roman" w:hAnsi="Times New Roman" w:eastAsia="仿宋"/>
        </w:rPr>
      </w:pPr>
      <w:r>
        <w:rPr>
          <w:b w:val="1"/>
          <w:sz w:val="32"/>
          <w:szCs w:val="32"/>
          <w:bCs/>
          <w:rFonts w:ascii="Times New Roman" w:hAnsi="Times New Roman" w:eastAsia="仿宋"/>
        </w:rPr>
        <w:t xml:space="preserve">（二）招聘3人的岗位。</w:t>
      </w:r>
      <w:r>
        <w:rPr>
          <w:b w:val="1"/>
          <w:sz w:val="32"/>
          <w:szCs w:val="32"/>
          <w:bCs/>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若只有6到8人通过报名资格审查，则招聘人数调减至2人；若只有3到5人通过报名资格审查，则招聘人数调减至1人。</w:t>
      </w:r>
      <w:r>
        <w:rPr>
          <w:color w:val="000000"/>
          <w:sz w:val="32"/>
          <w:szCs w:val="32"/>
          <w:rFonts w:ascii="Times New Roman" w:hAnsi="Times New Roman" w:eastAsia="仿宋"/>
        </w:rPr>
      </w:r>
    </w:p>
    <w:p>
      <w:pPr>
        <w:pStyle w:val="HtmlNormal"/>
        <w:widowControl w:val="0"/>
        <w:jc w:val="both"/>
        <w:spacing w:after="0" w:afterAutospacing="0" w:before="0" w:beforeAutospacing="0" w:line="580" w:lineRule="exact"/>
        <w:ind w:firstLine="643" w:firstLineChars="200"/>
        <w:rPr>
          <w:b w:val="1"/>
          <w:sz w:val="32"/>
          <w:szCs w:val="32"/>
          <w:bCs/>
          <w:rFonts w:ascii="Times New Roman" w:hAnsi="Times New Roman" w:eastAsia="仿宋"/>
        </w:rPr>
      </w:pPr>
      <w:r>
        <w:rPr>
          <w:b w:val="1"/>
          <w:sz w:val="32"/>
          <w:szCs w:val="32"/>
          <w:bCs/>
          <w:rFonts w:ascii="Times New Roman" w:hAnsi="Times New Roman" w:eastAsia="仿宋"/>
        </w:rPr>
        <w:t xml:space="preserve">（三）招聘4人的岗位。</w:t>
      </w:r>
      <w:r>
        <w:rPr>
          <w:b w:val="1"/>
          <w:sz w:val="32"/>
          <w:szCs w:val="32"/>
          <w:bCs/>
          <w:rFonts w:ascii="Times New Roman" w:hAnsi="Times New Roman" w:eastAsia="仿宋"/>
        </w:rPr>
      </w:r>
    </w:p>
    <w:p>
      <w:pPr>
        <w:pStyle w:val="HtmlNormal"/>
        <w:widowControl w:val="0"/>
        <w:jc w:val="both"/>
        <w:spacing w:after="0" w:afterAutospacing="0" w:before="0" w:beforeAutospacing="0" w:line="580" w:lineRule="exact"/>
        <w:ind w:firstLine="640" w:firstLineChars="200"/>
        <w:rPr>
          <w:sz w:val="32"/>
          <w:szCs w:val="32"/>
          <w:rFonts w:ascii="Times New Roman" w:hAnsi="Times New Roman" w:eastAsia="仿宋"/>
        </w:rPr>
      </w:pPr>
      <w:r>
        <w:rPr>
          <w:sz w:val="32"/>
          <w:szCs w:val="32"/>
          <w:rFonts w:ascii="Times New Roman" w:hAnsi="Times New Roman" w:eastAsia="仿宋"/>
        </w:rPr>
        <w:t xml:space="preserve">若只有9到11人通过报名资格审查，则招聘人数调减至3人；若只有6到8人通过报名资格审查，则招聘人数调减至2人；若只有3到5人通过报名资格审查，则招聘人数调减至1人。</w:t>
      </w:r>
      <w:r>
        <w:rPr>
          <w:color w:val="000000"/>
          <w:sz w:val="32"/>
          <w:szCs w:val="32"/>
          <w:rFonts w:ascii="Times New Roman" w:hAnsi="Times New Roman" w:eastAsia="仿宋"/>
        </w:rPr>
      </w:r>
    </w:p>
    <w:p>
      <w:pPr>
        <w:pStyle w:val="Normal"/>
        <w:spacing w:line="580" w:lineRule="exact"/>
        <w:rPr>
          <w:color w:val="000000"/>
          <w:sz w:val="32"/>
          <w:szCs w:val="32"/>
          <w:rFonts w:ascii="Times New Roman" w:hAnsi="Times New Roman" w:eastAsia="仿宋"/>
        </w:rPr>
      </w:pPr>
      <w:r>
        <w:rPr>
          <w:color w:val="000000"/>
          <w:sz w:val="32"/>
          <w:szCs w:val="32"/>
          <w:rFonts w:ascii="Times New Roman" w:hAnsi="Times New Roman" w:eastAsia="仿宋"/>
        </w:rPr>
      </w:r>
    </w:p>
    <w:sectPr>
      <w:footerReference r:id="rId3" w:type="default"/>
      <w:type w:val="nextPage"/>
      <w:docGrid w:type="lines" w:linePitch="312"/>
      <w:pgSz w:w="11906" w:h="16838"/>
      <w:pgMar w:top="2098" w:right="1531" w:bottom="1984" w:left="1531" w:header="851" w:footer="992" w:gutter="0"/>
      <w:pgNumType w:fmt="57"/>
      <w:pgNumType w:fmt="57"/>
    </w:sectPr>
  </w:body>
</w:document>
</file>

<file path=word/fontTable.xml><?xml version="1.0" encoding="utf-8"?>
<w:fonts xmlns:w="http://schemas.openxmlformats.org/wordprocessingml/2006/main">
  <w:font w:name="Calibri">
    <w:altName w:val="Helvetica Neue"/>
    <w:panose1 w:val="020f0502020204030204"/>
    <w:charset w:val="00"/>
    <w:family w:val="swiss"/>
    <w:pitch w:val="default"/>
    <w:sig w:usb0="00000000" w:usb1="00000000" w:usb2="00000001" w:usb3="00000000" w:csb0="0000019F" w:csb1="00000000"/>
  </w:font>
  <w:font w:name="宋体">
    <w:altName w:val="汉仪书宋二KW"/>
    <w:panose1 w:val="02010600030101010101"/>
    <w:charset w:val="86"/>
    <w:family w:val="auto"/>
    <w:pitch w:val="default"/>
    <w:sig w:usb0="00000203" w:usb1="288F0000" w:usb2="00000006" w:usb3="00000000" w:csb0="00040001" w:csb1="00000000"/>
  </w:font>
  <w:font w:name="Times New Roman">
    <w:panose1 w:val="02020603050405020304"/>
    <w:charset w:val="00"/>
    <w:family w:val="auto"/>
    <w:pitch w:val="default"/>
    <w:sig w:usb0="E0002AEF" w:usb1="C0007841"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rPr>
        <w:sz w:val="18"/>
      </w:rPr>
    </w:pPr>
    <w:r>
      <w:rPr>
        <w:sz w:val="18"/>
      </w:rPr>
      <w:drawing>
        <wp:anchor distT="0" distB="0" distL="0" distR="0" relativeHeight="524288" behindDoc="0" allowOverlap="1" locked="0" layoutInCell="1" simplePos="0">
          <wp:simplePos x="0" y="0"/>
          <wp:positionH relativeFrom="margin">
            <wp:align>center</wp:align>
          </wp:positionH>
          <wp:positionV relativeFrom="paragraph">
            <wp:posOffset>0</wp:posOffset>
          </wp:positionV>
          <wp:extent cx="1828800" cy="1828800"/>
          <wp:wrapNone/>
          <wp:docPr id="1" name="_x0000_s1025"/>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pPr>
                      <w:r>
                        <w:fldChar w:fldCharType="begin"/>
                      </w:r>
                      <w:r>
                        <w:instrText xml:space="preserve"> PAGE  \* MERGEFORMAT </w:instrText>
                      </w:r>
                      <w:r>
                        <w:fldChar w:fldCharType="separate"/>
                      </w:r>
                      <w:r>
                        <w:t xml:space="preserve">1</w:t>
                      </w:r>
                      <w:r>
                        <w:fldChar w:fldCharType="end"/>
                      </w:r>
                      <w:r/>
                    </w:p>
                    <w:p>
                      <w:pPr>
                        <w:pStyle w:val="Normal"/>
                      </w:pPr>
                      <w:r/>
                    </w:p>
                  </w:txbxContent>
                </wps:txbx>
                <wps:bodyPr rot="0" vert="horz" wrap="square" lIns="91440" tIns="45720" rIns="91440" bIns="45720" anchor="t" anchorCtr="0"/>
              </wps:wsp>
            </a:graphicData>
          </a:graphic>
        </wp:anchor>
      </w:drawing>
    </w:r>
    <w:r/>
  </w:p>
</w:ftr>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151"/>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0"/>
      <w:jc w:val="both"/>
    </w:pPr>
    <w:rPr>
      <w:sz w:val="21"/>
      <w:lang w:val="en-US" w:eastAsia="zh-CN" w:bidi="ar-SA"/>
      <w:szCs w:val="24"/>
      <w:kern w:val="2"/>
    </w:rPr>
  </w:style>
  <w:style w:type="character" w:styleId="NormalCharacter">
    <w:name w:val="默认段落字体"/>
    <w:link w:val="Normal"/>
    <w:semiHidden/>
  </w:style>
  <w:style w:type="table" w:styleId="TableNormal">
    <w:name w:val="普通表格"/>
    <w:link w:val="Normal"/>
    <w:semiHidden/>
  </w:style>
  <w:style w:type="paragraph" w:styleId="Footer">
    <w:name w:val="页脚"/>
    <w:basedOn w:val="Normal"/>
    <w:link w:val="UserStyle_0"/>
    <w:pPr>
      <w:snapToGrid w:val="0"/>
      <w:jc w:val="start"/>
      <w:tabs>
        <w:tab w:val="center" w:pos="4153"/>
        <w:tab w:val="right" w:pos="8306"/>
      </w:tabs>
    </w:pPr>
    <w:rPr>
      <w:sz w:val="18"/>
      <w:szCs w:val="18"/>
    </w:rPr>
  </w:style>
  <w:style w:type="character" w:styleId="UserStyle_0">
    <w:name w:val="页脚 字符"/>
    <w:link w:val="Footer"/>
    <w:rPr>
      <w:sz w:val="18"/>
      <w:szCs w:val="18"/>
      <w:kern w:val="2"/>
    </w:rPr>
  </w:style>
  <w:style w:type="paragraph" w:styleId="Header">
    <w:name w:val="页眉"/>
    <w:basedOn w:val="Normal"/>
    <w:link w:val="UserStyle_1"/>
    <w:pPr>
      <w:snapToGrid w:val="0"/>
      <w:jc w:val="center"/>
      <w:tabs>
        <w:tab w:val="center" w:pos="4153"/>
        <w:tab w:val="right" w:pos="8306"/>
      </w:tabs>
    </w:pPr>
    <w:rPr>
      <w:sz w:val="18"/>
      <w:szCs w:val="18"/>
    </w:rPr>
  </w:style>
  <w:style w:type="character" w:styleId="UserStyle_1">
    <w:name w:val="页眉 字符"/>
    <w:link w:val="Header"/>
    <w:rPr>
      <w:sz w:val="18"/>
      <w:szCs w:val="18"/>
      <w:kern w:val="2"/>
    </w:rPr>
  </w:style>
  <w:style w:type="paragraph" w:styleId="HtmlNormal">
    <w:name w:val="普通(网站)"/>
    <w:basedOn w:val="Normal"/>
    <w:link w:val="Normal"/>
    <w:pPr>
      <w:widowControl w:val="1"/>
      <w:jc w:val="start"/>
      <w:spacing w:after="100" w:afterAutospacing="1" w:before="100" w:beforeAutospacing="1"/>
    </w:pPr>
    <w:rPr>
      <w:sz w:val="24"/>
      <w:szCs w:val="24"/>
      <w:kern w:val="0"/>
      <w:rFonts w:ascii="宋体" w:hAnsi="宋体" w:eastAsia="宋体"/>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footer" Target="footer1.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Thu Mar 20 16:21:35 2025
save:Thu Mar 20 16:22:57 2025

</file>