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3</w:t>
      </w:r>
      <w:bookmarkStart w:id="2" w:name="_GoBack"/>
      <w:bookmarkEnd w:id="2"/>
    </w:p>
    <w:p>
      <w:pPr>
        <w:adjustRightInd w:val="0"/>
        <w:snapToGrid w:val="0"/>
        <w:spacing w:line="560" w:lineRule="exact"/>
        <w:jc w:val="center"/>
        <w:rPr>
          <w:rStyle w:val="8"/>
          <w:rFonts w:ascii="Times New Roman" w:hAnsi="Times New Roman" w:eastAsia="方正小标宋简体"/>
          <w:b w:val="0"/>
          <w:sz w:val="44"/>
          <w:szCs w:val="44"/>
          <w:highlight w:val="none"/>
        </w:rPr>
      </w:pPr>
      <w:r>
        <w:rPr>
          <w:rStyle w:val="8"/>
          <w:rFonts w:hint="eastAsia" w:ascii="Times New Roman" w:hAnsi="Times New Roman" w:eastAsia="方正小标宋简体" w:cs="Times New Roman"/>
          <w:b w:val="0"/>
          <w:sz w:val="44"/>
          <w:szCs w:val="44"/>
          <w:highlight w:val="none"/>
          <w:lang w:eastAsia="zh-CN"/>
        </w:rPr>
        <w:t>2025</w:t>
      </w:r>
      <w:r>
        <w:rPr>
          <w:rStyle w:val="8"/>
          <w:rFonts w:ascii="Times New Roman" w:hAnsi="Times New Roman" w:eastAsia="方正小标宋简体" w:cs="Times New Roman"/>
          <w:b w:val="0"/>
          <w:sz w:val="44"/>
          <w:szCs w:val="44"/>
          <w:highlight w:val="none"/>
        </w:rPr>
        <w:t>年</w:t>
      </w:r>
      <w:r>
        <w:rPr>
          <w:rStyle w:val="8"/>
          <w:rFonts w:ascii="Times New Roman" w:hAnsi="Times New Roman" w:eastAsia="方正小标宋简体"/>
          <w:b w:val="0"/>
          <w:sz w:val="44"/>
          <w:szCs w:val="44"/>
          <w:highlight w:val="none"/>
        </w:rPr>
        <w:t>度百色市</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r>
        <w:rPr>
          <w:rStyle w:val="8"/>
          <w:rFonts w:ascii="Times New Roman" w:hAnsi="Times New Roman" w:eastAsia="方正小标宋简体"/>
          <w:b w:val="0"/>
          <w:sz w:val="44"/>
          <w:szCs w:val="44"/>
          <w:highlight w:val="none"/>
        </w:rPr>
        <w:t>中小学教师公开招聘</w:t>
      </w:r>
      <w:r>
        <w:rPr>
          <w:rFonts w:hint="eastAsia" w:ascii="方正小标宋简体" w:hAnsi="宋体" w:eastAsia="方正小标宋简体" w:cs="宋体"/>
          <w:snapToGrid w:val="0"/>
          <w:kern w:val="0"/>
          <w:sz w:val="44"/>
          <w:szCs w:val="44"/>
          <w:highlight w:val="none"/>
        </w:rPr>
        <w:t>考试大纲与说明</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ascii="黑体" w:hAnsi="黑体" w:eastAsia="黑体" w:cs="宋体"/>
          <w:snapToGrid w:val="0"/>
          <w:kern w:val="0"/>
          <w:sz w:val="32"/>
          <w:szCs w:val="32"/>
          <w:highlight w:val="none"/>
        </w:rPr>
        <w:t>考试形式、考试时间</w:t>
      </w:r>
      <w:r>
        <w:rPr>
          <w:rFonts w:hint="eastAsia" w:ascii="黑体" w:hAnsi="黑体" w:eastAsia="黑体" w:cs="宋体"/>
          <w:snapToGrid w:val="0"/>
          <w:kern w:val="0"/>
          <w:sz w:val="32"/>
          <w:szCs w:val="32"/>
          <w:highlight w:val="none"/>
        </w:rPr>
        <w:t>：</w:t>
      </w:r>
      <w:r>
        <w:rPr>
          <w:rFonts w:hint="eastAsia" w:ascii="仿宋" w:hAnsi="仿宋" w:eastAsia="仿宋" w:cs="宋体"/>
          <w:snapToGrid w:val="0"/>
          <w:kern w:val="0"/>
          <w:sz w:val="32"/>
          <w:szCs w:val="32"/>
          <w:highlight w:val="none"/>
        </w:rPr>
        <w:t>考试采用闭卷、笔试形式；《</w:t>
      </w:r>
      <w:r>
        <w:rPr>
          <w:rFonts w:ascii="Times New Roman" w:hAnsi="Times New Roman" w:eastAsia="仿宋_GB2312" w:cs="Times New Roman"/>
          <w:kern w:val="0"/>
          <w:sz w:val="32"/>
          <w:szCs w:val="32"/>
          <w:highlight w:val="none"/>
        </w:rPr>
        <w:t>教育学与教学法基础知识</w:t>
      </w:r>
      <w:r>
        <w:rPr>
          <w:rFonts w:hint="eastAsia" w:ascii="仿宋" w:hAnsi="仿宋" w:eastAsia="仿宋" w:cs="宋体"/>
          <w:snapToGrid w:val="0"/>
          <w:kern w:val="0"/>
          <w:sz w:val="32"/>
          <w:szCs w:val="32"/>
          <w:highlight w:val="none"/>
        </w:rPr>
        <w:t>》</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教育心理学与德育工作基础知识</w:t>
      </w:r>
      <w:r>
        <w:rPr>
          <w:rFonts w:hint="eastAsia" w:ascii="Times New Roman" w:hAnsi="Times New Roman" w:eastAsia="仿宋_GB2312" w:cs="Times New Roman"/>
          <w:kern w:val="0"/>
          <w:sz w:val="32"/>
          <w:szCs w:val="32"/>
          <w:highlight w:val="none"/>
        </w:rPr>
        <w:t>》（两科目考试合卷）</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考试时间为1</w:t>
      </w:r>
      <w:r>
        <w:rPr>
          <w:rFonts w:hint="eastAsia" w:ascii="仿宋" w:hAnsi="仿宋" w:eastAsia="仿宋" w:cs="宋体"/>
          <w:snapToGrid w:val="0"/>
          <w:kern w:val="0"/>
          <w:sz w:val="32"/>
          <w:szCs w:val="32"/>
          <w:highlight w:val="none"/>
          <w:lang w:val="en-US" w:eastAsia="zh-CN"/>
        </w:rPr>
        <w:t>8</w:t>
      </w:r>
      <w:r>
        <w:rPr>
          <w:rFonts w:ascii="仿宋" w:hAnsi="仿宋" w:eastAsia="仿宋" w:cs="宋体"/>
          <w:snapToGrid w:val="0"/>
          <w:kern w:val="0"/>
          <w:sz w:val="32"/>
          <w:szCs w:val="32"/>
          <w:highlight w:val="none"/>
        </w:rPr>
        <w:t>0分钟。</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p>
    <w:p>
      <w:pPr>
        <w:widowControl/>
        <w:shd w:val="clear" w:color="auto" w:fill="FFFFFF"/>
        <w:adjustRightInd w:val="0"/>
        <w:spacing w:line="660" w:lineRule="exact"/>
        <w:jc w:val="center"/>
        <w:rPr>
          <w:rFonts w:ascii="方正小标宋简体" w:hAnsi="宋体" w:eastAsia="方正小标宋简体" w:cs="宋体"/>
          <w:snapToGrid w:val="0"/>
          <w:kern w:val="0"/>
          <w:sz w:val="36"/>
          <w:szCs w:val="36"/>
          <w:highlight w:val="none"/>
        </w:rPr>
      </w:pPr>
      <w:r>
        <w:rPr>
          <w:rFonts w:hint="eastAsia" w:ascii="方正小标宋简体" w:hAnsi="宋体" w:eastAsia="方正小标宋简体" w:cs="宋体"/>
          <w:snapToGrid w:val="0"/>
          <w:kern w:val="0"/>
          <w:sz w:val="36"/>
          <w:szCs w:val="36"/>
          <w:highlight w:val="none"/>
        </w:rPr>
        <w:t>《教育学与教学法基础知识》</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一、考试性质</w:t>
      </w:r>
    </w:p>
    <w:p>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二、考试目标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三、考试内容模块与要求</w:t>
      </w:r>
    </w:p>
    <w:p>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kern w:val="0"/>
          <w:sz w:val="32"/>
          <w:szCs w:val="32"/>
          <w:highlight w:val="none"/>
        </w:rPr>
      </w:pPr>
      <w:r>
        <w:rPr>
          <w:rFonts w:hint="eastAsia" w:ascii="楷体" w:hAnsi="楷体" w:eastAsia="楷体" w:cs="黑体"/>
          <w:bCs/>
          <w:snapToGrid w:val="0"/>
          <w:kern w:val="0"/>
          <w:sz w:val="32"/>
          <w:szCs w:val="32"/>
          <w:highlight w:val="none"/>
        </w:rPr>
        <w:t>（一）教育学。</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1.教育与教育学。</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2）了解教育的起源、基本形态及其历史发展脉络。</w:t>
      </w:r>
    </w:p>
    <w:p>
      <w:pPr>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hAnsi="仿宋" w:eastAsia="仿宋" w:cs="宋体"/>
          <w:snapToGrid w:val="0"/>
          <w:kern w:val="0"/>
          <w:sz w:val="32"/>
          <w:szCs w:val="32"/>
          <w:highlight w:val="none"/>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3）理解全面发展教育的组成部分（德育、智育、体育、美育、劳动技术教育）及其相互关系。</w:t>
      </w:r>
      <w:r>
        <w:rPr>
          <w:rFonts w:hint="eastAsia" w:ascii="仿宋" w:hAnsi="仿宋" w:eastAsia="仿宋" w:cs="宋体"/>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cs="宋体"/>
          <w:snapToGrid w:val="0"/>
          <w:kern w:val="0"/>
          <w:sz w:val="32"/>
          <w:szCs w:val="32"/>
          <w:highlight w:val="none"/>
        </w:rPr>
        <w:t>我国现阶段教育目的的基本精神及实现教育目的的要求。</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snapToGrid w:val="0"/>
          <w:kern w:val="0"/>
          <w:sz w:val="32"/>
          <w:szCs w:val="32"/>
          <w:highlight w:val="none"/>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3.学校。</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1）了解学校的定义。</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2）理解学校公益性特点。</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3）了解学校教育制度及其发展。</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4）掌握我国的学校教育制度。</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5）掌握学校文化的概念、构成与功能。</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4.教师与学生。</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 班级管理与</w:t>
      </w:r>
      <w:r>
        <w:rPr>
          <w:rFonts w:hint="eastAsia" w:ascii="仿宋" w:hAnsi="仿宋" w:eastAsia="仿宋" w:cs="宋体"/>
          <w:bCs/>
          <w:snapToGrid w:val="0"/>
          <w:kern w:val="0"/>
          <w:sz w:val="32"/>
          <w:szCs w:val="32"/>
          <w:highlight w:val="none"/>
        </w:rPr>
        <w:t>班主任工作。</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snapToGrid w:val="0"/>
          <w:kern w:val="0"/>
          <w:sz w:val="32"/>
          <w:szCs w:val="32"/>
          <w:highlight w:val="none"/>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5）运用所学</w:t>
      </w:r>
      <w:r>
        <w:rPr>
          <w:rFonts w:hint="eastAsia" w:ascii="仿宋" w:hAnsi="仿宋" w:eastAsia="仿宋"/>
          <w:snapToGrid w:val="0"/>
          <w:kern w:val="0"/>
          <w:sz w:val="32"/>
          <w:szCs w:val="32"/>
          <w:highlight w:val="none"/>
        </w:rPr>
        <w:t>班级管理与</w:t>
      </w:r>
      <w:r>
        <w:rPr>
          <w:rFonts w:hint="eastAsia" w:ascii="仿宋" w:hAnsi="仿宋" w:eastAsia="仿宋" w:cs="宋体"/>
          <w:snapToGrid w:val="0"/>
          <w:kern w:val="0"/>
          <w:sz w:val="32"/>
          <w:szCs w:val="32"/>
          <w:highlight w:val="none"/>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6.课外活动。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w:t>
      </w:r>
      <w:r>
        <w:rPr>
          <w:rFonts w:ascii="仿宋" w:hAnsi="仿宋" w:eastAsia="仿宋" w:cs="仿宋"/>
          <w:bCs/>
          <w:snapToGrid w:val="0"/>
          <w:kern w:val="0"/>
          <w:sz w:val="32"/>
          <w:szCs w:val="32"/>
          <w:highlight w:val="none"/>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（二）教学法。</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1．教学目标。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w:t>
      </w:r>
      <w:r>
        <w:rPr>
          <w:rFonts w:hint="eastAsia" w:ascii="仿宋" w:hAnsi="仿宋" w:eastAsia="仿宋" w:cs="宋体"/>
          <w:snapToGrid w:val="0"/>
          <w:kern w:val="0"/>
          <w:sz w:val="32"/>
          <w:szCs w:val="32"/>
          <w:highlight w:val="none"/>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w:t>
      </w:r>
      <w:r>
        <w:rPr>
          <w:rFonts w:hint="eastAsia" w:ascii="仿宋" w:eastAsia="仿宋"/>
          <w:snapToGrid w:val="0"/>
          <w:kern w:val="0"/>
          <w:sz w:val="32"/>
          <w:szCs w:val="32"/>
          <w:highlight w:val="none"/>
        </w:rPr>
        <w:t>课程的类型与结构。</w:t>
      </w:r>
    </w:p>
    <w:p>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eastAsia="仿宋"/>
          <w:snapToGrid w:val="0"/>
          <w:kern w:val="0"/>
          <w:sz w:val="32"/>
          <w:szCs w:val="32"/>
          <w:highlight w:val="none"/>
        </w:rPr>
        <w:t>了解</w:t>
      </w:r>
      <w:r>
        <w:rPr>
          <w:rFonts w:hint="eastAsia" w:ascii="仿宋" w:hAnsi="仿宋" w:eastAsia="仿宋" w:cs="仿宋"/>
          <w:bCs/>
          <w:snapToGrid w:val="0"/>
          <w:kern w:val="0"/>
          <w:sz w:val="32"/>
          <w:szCs w:val="32"/>
          <w:highlight w:val="none"/>
        </w:rPr>
        <w:t>课程内容的编排形式。</w:t>
      </w:r>
    </w:p>
    <w:p>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cs="仿宋"/>
          <w:snapToGrid w:val="0"/>
          <w:kern w:val="0"/>
          <w:sz w:val="32"/>
          <w:szCs w:val="32"/>
          <w:highlight w:val="none"/>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3）理解课程实施的基本取向。</w:t>
      </w:r>
    </w:p>
    <w:p>
      <w:pPr>
        <w:pStyle w:val="2"/>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w:t>
      </w:r>
      <w:r>
        <w:rPr>
          <w:rFonts w:hint="eastAsia" w:ascii="仿宋" w:hAnsi="仿宋" w:eastAsia="仿宋" w:cs="宋体"/>
          <w:snapToGrid w:val="0"/>
          <w:kern w:val="0"/>
          <w:sz w:val="32"/>
          <w:szCs w:val="32"/>
          <w:highlight w:val="none"/>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9）</w:t>
      </w:r>
      <w:r>
        <w:rPr>
          <w:rFonts w:hint="eastAsia" w:ascii="仿宋" w:hAnsi="仿宋" w:eastAsia="仿宋" w:cs="宋体"/>
          <w:snapToGrid w:val="0"/>
          <w:kern w:val="0"/>
          <w:sz w:val="32"/>
          <w:szCs w:val="32"/>
          <w:highlight w:val="none"/>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6.教学评价。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四、试卷结构</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25分</w:t>
            </w:r>
          </w:p>
        </w:tc>
      </w:tr>
      <w:tr>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w:t>
            </w:r>
            <w:r>
              <w:rPr>
                <w:rFonts w:hint="eastAsia" w:ascii="宋体" w:hAnsi="宋体" w:cs="仿宋"/>
                <w:snapToGrid w:val="0"/>
                <w:kern w:val="0"/>
                <w:sz w:val="24"/>
                <w:highlight w:val="none"/>
                <w:lang w:val="en-US" w:eastAsia="zh-CN"/>
              </w:rPr>
              <w:t>0</w:t>
            </w:r>
            <w:r>
              <w:rPr>
                <w:rFonts w:ascii="宋体" w:hAnsi="宋体" w:cs="仿宋"/>
                <w:snapToGrid w:val="0"/>
                <w:kern w:val="0"/>
                <w:sz w:val="24"/>
                <w:highlight w:val="none"/>
              </w:rPr>
              <w:t>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lang w:val="en-US" w:eastAsia="zh-CN"/>
              </w:rPr>
              <w:t>约70</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adjustRightInd w:val="0"/>
        <w:spacing w:line="570" w:lineRule="exact"/>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（容易题、中等难度题、较难题的赋分比例约为</w:t>
      </w:r>
      <w:r>
        <w:rPr>
          <w:rFonts w:ascii="仿宋" w:hAnsi="仿宋" w:eastAsia="仿宋" w:cs="宋体"/>
          <w:snapToGrid w:val="0"/>
          <w:kern w:val="0"/>
          <w:sz w:val="32"/>
          <w:szCs w:val="32"/>
          <w:highlight w:val="none"/>
        </w:rPr>
        <w:t>4∶4∶2）</w:t>
      </w:r>
    </w:p>
    <w:p>
      <w:pPr>
        <w:widowControl/>
        <w:shd w:val="clear" w:color="auto" w:fill="FFFFFF"/>
        <w:adjustRightInd w:val="0"/>
        <w:spacing w:line="570" w:lineRule="exact"/>
        <w:ind w:right="141" w:firstLine="79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（一）单项选择题。（本大题共</w:t>
      </w:r>
      <w:r>
        <w:rPr>
          <w:rFonts w:ascii="楷体" w:hAnsi="楷体" w:eastAsia="楷体" w:cs="宋体"/>
          <w:bCs/>
          <w:snapToGrid w:val="0"/>
          <w:kern w:val="0"/>
          <w:sz w:val="32"/>
          <w:szCs w:val="32"/>
          <w:highlight w:val="none"/>
        </w:rPr>
        <w:t>40题，每小题1分，共40分）</w:t>
      </w:r>
    </w:p>
    <w:p>
      <w:pPr>
        <w:widowControl/>
        <w:shd w:val="clear" w:color="auto" w:fill="FFFFFF"/>
        <w:adjustRightInd w:val="0"/>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【例</w:t>
      </w:r>
      <w:r>
        <w:rPr>
          <w:rFonts w:ascii="仿宋" w:hAnsi="仿宋" w:eastAsia="仿宋"/>
          <w:snapToGrid w:val="0"/>
          <w:kern w:val="0"/>
          <w:sz w:val="32"/>
          <w:szCs w:val="32"/>
          <w:highlight w:val="none"/>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A．丰富性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B．多面性</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C．灵活性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D．开放性</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了解课外活动的特点。</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答案为“</w:t>
      </w:r>
      <w:r>
        <w:rPr>
          <w:rFonts w:ascii="仿宋" w:hAnsi="仿宋" w:eastAsia="仿宋"/>
          <w:snapToGrid w:val="0"/>
          <w:kern w:val="0"/>
          <w:sz w:val="32"/>
          <w:szCs w:val="32"/>
          <w:highlight w:val="none"/>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选</w:t>
            </w:r>
            <w:r>
              <w:rPr>
                <w:rFonts w:ascii="宋体" w:hAnsi="宋体" w:cs="仿宋"/>
                <w:snapToGrid w:val="0"/>
                <w:kern w:val="0"/>
                <w:sz w:val="32"/>
                <w:szCs w:val="32"/>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错选、多选或未选</w:t>
            </w:r>
          </w:p>
        </w:tc>
      </w:tr>
    </w:tbl>
    <w:p>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仿宋" w:hAnsi="仿宋" w:eastAsia="仿宋"/>
          <w:snapToGrid w:val="0"/>
          <w:kern w:val="0"/>
          <w:sz w:val="32"/>
          <w:szCs w:val="32"/>
          <w:highlight w:val="none"/>
        </w:rPr>
        <w:t>。</w:t>
      </w:r>
    </w:p>
    <w:p>
      <w:pPr>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bookmarkStart w:id="0" w:name="BkEDIT72TG"/>
      <w:r>
        <w:rPr>
          <w:rFonts w:hint="eastAsia" w:ascii="仿宋" w:hAnsi="仿宋" w:eastAsia="仿宋" w:cs="仿宋"/>
          <w:snapToGrid w:val="0"/>
          <w:kern w:val="0"/>
          <w:sz w:val="32"/>
          <w:szCs w:val="32"/>
          <w:highlight w:val="none"/>
        </w:rPr>
        <w:t>教师在课堂教学过程中经常采用的考查方式有</w:t>
      </w:r>
    </w:p>
    <w:p>
      <w:pPr>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A．口头提问</w:t>
      </w:r>
      <w:r>
        <w:rPr>
          <w:rFonts w:ascii="仿宋" w:hAnsi="仿宋" w:eastAsia="仿宋" w:cs="仿宋"/>
          <w:snapToGrid w:val="0"/>
          <w:kern w:val="0"/>
          <w:sz w:val="32"/>
          <w:szCs w:val="32"/>
          <w:highlight w:val="none"/>
        </w:rPr>
        <w:tab/>
      </w:r>
      <w:r>
        <w:rPr>
          <w:rFonts w:ascii="仿宋" w:hAnsi="仿宋" w:eastAsia="仿宋" w:cs="仿宋"/>
          <w:snapToGrid w:val="0"/>
          <w:kern w:val="0"/>
          <w:sz w:val="32"/>
          <w:szCs w:val="32"/>
          <w:highlight w:val="none"/>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C．书面小测验       D．期末考试</w:t>
      </w:r>
    </w:p>
    <w:bookmarkEnd w:id="0"/>
    <w:p>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解析：教师对</w:t>
      </w:r>
      <w:r>
        <w:rPr>
          <w:rFonts w:hint="eastAsia" w:ascii="仿宋" w:hAnsi="仿宋" w:eastAsia="仿宋" w:cs="仿宋"/>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AC;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（三）判断题。（本大题共</w:t>
      </w:r>
      <w:r>
        <w:rPr>
          <w:rFonts w:ascii="楷体" w:hAnsi="楷体" w:eastAsia="楷体" w:cs="宋体"/>
          <w:bCs/>
          <w:snapToGrid w:val="0"/>
          <w:kern w:val="0"/>
          <w:sz w:val="32"/>
          <w:szCs w:val="32"/>
          <w:highlight w:val="none"/>
        </w:rPr>
        <w:t>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题，每小题1分，共1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分）</w:t>
      </w:r>
    </w:p>
    <w:p>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判断各题的正误，你认为正确的用</w:t>
      </w:r>
      <w:r>
        <w:rPr>
          <w:rFonts w:ascii="仿宋" w:hAnsi="仿宋" w:eastAsia="仿宋" w:cs="宋体"/>
          <w:snapToGrid w:val="0"/>
          <w:kern w:val="0"/>
          <w:sz w:val="32"/>
          <w:szCs w:val="32"/>
          <w:highlight w:val="none"/>
        </w:rPr>
        <w:t>T</w:t>
      </w:r>
      <w:r>
        <w:rPr>
          <w:rFonts w:hint="eastAsia" w:ascii="仿宋" w:hAnsi="仿宋" w:eastAsia="仿宋" w:cs="宋体"/>
          <w:snapToGrid w:val="0"/>
          <w:kern w:val="0"/>
          <w:sz w:val="32"/>
          <w:szCs w:val="32"/>
          <w:highlight w:val="none"/>
        </w:rPr>
        <w:t>来表示，认为错误的用</w:t>
      </w:r>
      <w:r>
        <w:rPr>
          <w:rFonts w:ascii="仿宋" w:hAnsi="仿宋" w:eastAsia="仿宋" w:cs="宋体"/>
          <w:snapToGrid w:val="0"/>
          <w:kern w:val="0"/>
          <w:sz w:val="32"/>
          <w:szCs w:val="32"/>
          <w:highlight w:val="none"/>
        </w:rPr>
        <w:t>F</w:t>
      </w:r>
      <w:r>
        <w:rPr>
          <w:rFonts w:hint="eastAsia" w:ascii="仿宋" w:hAnsi="仿宋" w:eastAsia="仿宋" w:cs="宋体"/>
          <w:snapToGrid w:val="0"/>
          <w:kern w:val="0"/>
          <w:sz w:val="32"/>
          <w:szCs w:val="32"/>
          <w:highlight w:val="none"/>
        </w:rPr>
        <w:t>来表示，并将其代码填涂在答题卡上。</w:t>
      </w:r>
    </w:p>
    <w:p>
      <w:pPr>
        <w:spacing w:line="570" w:lineRule="exact"/>
        <w:ind w:firstLine="640" w:firstLineChars="200"/>
        <w:rPr>
          <w:rFonts w:ascii="仿宋" w:hAnsi="仿宋" w:eastAsia="仿宋" w:cs="仿宋"/>
          <w:bCs/>
          <w:snapToGrid w:val="0"/>
          <w:kern w:val="0"/>
          <w:sz w:val="32"/>
          <w:szCs w:val="32"/>
          <w:highlight w:val="none"/>
          <w:shd w:val="clear" w:color="FFFFFF" w:fill="D9D9D9"/>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理解教学工作的基本环节。</w:t>
      </w:r>
    </w:p>
    <w:p>
      <w:pPr>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w:t>
      </w:r>
      <w:r>
        <w:rPr>
          <w:rFonts w:hint="eastAsia" w:ascii="仿宋" w:hAnsi="仿宋" w:eastAsia="仿宋" w:cs="仿宋"/>
          <w:snapToGrid w:val="0"/>
          <w:kern w:val="0"/>
          <w:sz w:val="32"/>
          <w:szCs w:val="32"/>
          <w:highlight w:val="none"/>
        </w:rPr>
        <w:t>教学工作的基本环节包括</w:t>
      </w:r>
      <w:r>
        <w:rPr>
          <w:rFonts w:hint="eastAsia" w:ascii="仿宋" w:hAnsi="仿宋" w:eastAsia="仿宋" w:cs="仿宋"/>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highlight w:val="none"/>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（四）材料分析题。</w:t>
      </w:r>
      <w:r>
        <w:rPr>
          <w:rFonts w:hint="eastAsia" w:ascii="仿宋" w:hAnsi="仿宋" w:eastAsia="仿宋" w:cs="宋体"/>
          <w:snapToGrid w:val="0"/>
          <w:kern w:val="0"/>
          <w:sz w:val="32"/>
          <w:szCs w:val="32"/>
          <w:highlight w:val="none"/>
        </w:rPr>
        <w:t>（本大题共</w:t>
      </w:r>
      <w:r>
        <w:rPr>
          <w:rFonts w:ascii="仿宋" w:hAnsi="仿宋" w:eastAsia="仿宋" w:cs="宋体"/>
          <w:snapToGrid w:val="0"/>
          <w:kern w:val="0"/>
          <w:sz w:val="32"/>
          <w:szCs w:val="32"/>
          <w:highlight w:val="none"/>
        </w:rPr>
        <w:t>5题，每小题</w:t>
      </w:r>
      <w:r>
        <w:rPr>
          <w:rFonts w:hint="eastAsia" w:ascii="仿宋" w:hAnsi="仿宋" w:eastAsia="仿宋" w:cs="宋体"/>
          <w:snapToGrid w:val="0"/>
          <w:kern w:val="0"/>
          <w:sz w:val="32"/>
          <w:szCs w:val="32"/>
          <w:highlight w:val="none"/>
          <w:lang w:val="en-US" w:eastAsia="zh-CN"/>
        </w:rPr>
        <w:t>4</w:t>
      </w:r>
      <w:r>
        <w:rPr>
          <w:rFonts w:ascii="仿宋" w:hAnsi="仿宋" w:eastAsia="仿宋" w:cs="宋体"/>
          <w:snapToGrid w:val="0"/>
          <w:kern w:val="0"/>
          <w:sz w:val="32"/>
          <w:szCs w:val="32"/>
          <w:highlight w:val="none"/>
        </w:rPr>
        <w:t>分，共2</w:t>
      </w:r>
      <w:r>
        <w:rPr>
          <w:rFonts w:hint="eastAsia" w:ascii="仿宋" w:hAnsi="仿宋" w:eastAsia="仿宋" w:cs="宋体"/>
          <w:snapToGrid w:val="0"/>
          <w:kern w:val="0"/>
          <w:sz w:val="32"/>
          <w:szCs w:val="32"/>
          <w:highlight w:val="none"/>
          <w:lang w:val="en-US" w:eastAsia="zh-CN"/>
        </w:rPr>
        <w:t>0</w:t>
      </w:r>
      <w:r>
        <w:rPr>
          <w:rFonts w:ascii="仿宋" w:hAnsi="仿宋" w:eastAsia="仿宋" w:cs="宋体"/>
          <w:snapToGrid w:val="0"/>
          <w:kern w:val="0"/>
          <w:sz w:val="32"/>
          <w:szCs w:val="32"/>
          <w:highlight w:val="none"/>
        </w:rPr>
        <w:t>分）</w:t>
      </w:r>
    </w:p>
    <w:p>
      <w:pPr>
        <w:widowControl/>
        <w:shd w:val="clear" w:color="auto" w:fill="FFFFFF"/>
        <w:adjustRightInd w:val="0"/>
        <w:spacing w:line="570" w:lineRule="exact"/>
        <w:ind w:right="141" w:firstLine="630"/>
        <w:jc w:val="left"/>
        <w:rPr>
          <w:rFonts w:ascii="仿宋" w:hAnsi="仿宋" w:eastAsia="仿宋"/>
          <w:snapToGrid w:val="0"/>
          <w:kern w:val="0"/>
          <w:sz w:val="32"/>
          <w:szCs w:val="32"/>
          <w:highlight w:val="none"/>
          <w:em w:val="dot"/>
        </w:rPr>
      </w:pPr>
      <w:r>
        <w:rPr>
          <w:rFonts w:hint="eastAsia" w:ascii="仿宋" w:hAnsi="仿宋" w:eastAsia="仿宋" w:cs="宋体"/>
          <w:snapToGrid w:val="0"/>
          <w:kern w:val="0"/>
          <w:sz w:val="32"/>
          <w:szCs w:val="32"/>
          <w:highlight w:val="none"/>
        </w:rPr>
        <w:t>请分析以下材料，每题有一个或多个正确答案，请从备选答案中选出相应的代码，并将其填涂在答题卡上，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1分</w:t>
      </w:r>
      <w:r>
        <w:rPr>
          <w:rFonts w:hint="eastAsia" w:ascii="仿宋" w:hAnsi="仿宋" w:eastAsia="仿宋"/>
          <w:snapToGrid w:val="0"/>
          <w:kern w:val="0"/>
          <w:sz w:val="32"/>
          <w:szCs w:val="32"/>
          <w:highlight w:val="none"/>
          <w:em w:val="dot"/>
        </w:rPr>
        <w:t>。</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snapToGrid w:val="0"/>
          <w:kern w:val="0"/>
          <w:sz w:val="32"/>
          <w:szCs w:val="32"/>
          <w:highlight w:val="none"/>
        </w:rPr>
        <w:t>学生“减负”议题在</w:t>
      </w:r>
      <w:r>
        <w:rPr>
          <w:rFonts w:ascii="仿宋" w:hAnsi="仿宋" w:eastAsia="仿宋"/>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A．缩小抽样范围         B．自编或改编问卷</w:t>
      </w:r>
    </w:p>
    <w:p>
      <w:pPr>
        <w:spacing w:line="570" w:lineRule="exact"/>
        <w:ind w:firstLine="640" w:firstLineChars="200"/>
        <w:rPr>
          <w:rFonts w:ascii="仿宋" w:hAnsi="仿宋" w:eastAsia="仿宋"/>
          <w:bCs/>
          <w:snapToGrid w:val="0"/>
          <w:kern w:val="0"/>
          <w:sz w:val="32"/>
          <w:szCs w:val="32"/>
          <w:highlight w:val="none"/>
          <w:shd w:val="clear" w:color="FFFFFF" w:fill="D9D9D9"/>
        </w:rPr>
      </w:pPr>
      <w:r>
        <w:rPr>
          <w:rFonts w:ascii="仿宋" w:hAnsi="仿宋" w:eastAsia="仿宋"/>
          <w:snapToGrid w:val="0"/>
          <w:kern w:val="0"/>
          <w:sz w:val="32"/>
          <w:szCs w:val="32"/>
          <w:highlight w:val="none"/>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考查目的：</w:t>
      </w:r>
      <w:r>
        <w:rPr>
          <w:rFonts w:hint="eastAsia" w:ascii="仿宋" w:hAnsi="仿宋" w:eastAsia="仿宋" w:cs="宋体"/>
          <w:snapToGrid w:val="0"/>
          <w:kern w:val="0"/>
          <w:sz w:val="32"/>
          <w:szCs w:val="32"/>
          <w:highlight w:val="none"/>
        </w:rPr>
        <w:t>掌握教育调查法。</w:t>
      </w:r>
    </w:p>
    <w:p>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highlight w:val="none"/>
        </w:rPr>
        <w:t>30%左右，资料只能做参考；达到50%以上，可以采纳建议；当回收率达到70%以上时，方可</w:t>
      </w:r>
      <w:r>
        <w:rPr>
          <w:rFonts w:hint="eastAsia" w:ascii="仿宋" w:hAnsi="仿宋" w:eastAsia="仿宋" w:cs="宋体"/>
          <w:bCs/>
          <w:snapToGrid w:val="0"/>
          <w:kern w:val="0"/>
          <w:sz w:val="32"/>
          <w:szCs w:val="32"/>
          <w:highlight w:val="none"/>
        </w:rPr>
        <w:t>作为研究结论的依据，因此，回收率一般不应低于</w:t>
      </w:r>
      <w:r>
        <w:rPr>
          <w:rFonts w:ascii="仿宋" w:hAnsi="仿宋" w:eastAsia="仿宋" w:cs="宋体"/>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highlight w:val="none"/>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故答案为</w:t>
      </w:r>
      <w:r>
        <w:rPr>
          <w:rFonts w:ascii="仿宋" w:hAnsi="仿宋" w:eastAsia="仿宋"/>
          <w:snapToGrid w:val="0"/>
          <w:kern w:val="0"/>
          <w:sz w:val="32"/>
          <w:szCs w:val="32"/>
          <w:highlight w:val="none"/>
        </w:rPr>
        <w:t>BCD</w:t>
      </w:r>
      <w:r>
        <w:rPr>
          <w:rFonts w:hint="eastAsia" w:ascii="仿宋" w:hAnsi="仿宋" w:eastAsia="仿宋" w:cs="Arial"/>
          <w:snapToGrid w:val="0"/>
          <w:kern w:val="0"/>
          <w:sz w:val="32"/>
          <w:szCs w:val="32"/>
          <w:highlight w:val="none"/>
        </w:rPr>
        <w:t>。</w:t>
      </w:r>
      <w:r>
        <w:rPr>
          <w:rFonts w:hint="eastAsia" w:ascii="仿宋" w:hAnsi="仿宋" w:eastAsia="仿宋"/>
          <w:snapToGrid w:val="0"/>
          <w:kern w:val="0"/>
          <w:sz w:val="32"/>
          <w:szCs w:val="32"/>
          <w:highlight w:val="none"/>
        </w:rPr>
        <w:t>属于运用层次，中等难度题。</w:t>
      </w:r>
    </w:p>
    <w:p>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bCs/>
          <w:snapToGrid w:val="0"/>
          <w:kern w:val="0"/>
          <w:sz w:val="32"/>
          <w:szCs w:val="32"/>
          <w:highlight w:val="none"/>
        </w:rPr>
        <w:t>答案：</w:t>
      </w:r>
      <w:r>
        <w:rPr>
          <w:rFonts w:ascii="仿宋" w:hAnsi="仿宋" w:eastAsia="仿宋"/>
          <w:snapToGrid w:val="0"/>
          <w:kern w:val="0"/>
          <w:sz w:val="32"/>
          <w:szCs w:val="32"/>
          <w:highlight w:val="none"/>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4</w:t>
            </w:r>
            <w:r>
              <w:rPr>
                <w:rFonts w:ascii="宋体" w:hAnsi="宋体" w:cs="宋体"/>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仿宋"/>
                <w:snapToGrid w:val="0"/>
                <w:kern w:val="0"/>
                <w:sz w:val="24"/>
                <w:highlight w:val="none"/>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只选</w:t>
            </w:r>
            <w:r>
              <w:rPr>
                <w:rFonts w:ascii="宋体" w:hAnsi="宋体"/>
                <w:snapToGrid w:val="0"/>
                <w:kern w:val="0"/>
                <w:sz w:val="24"/>
                <w:highlight w:val="none"/>
              </w:rPr>
              <w:t>BC</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BD</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Arial"/>
                <w:snapToGrid w:val="0"/>
                <w:kern w:val="0"/>
                <w:sz w:val="24"/>
                <w:highlight w:val="none"/>
              </w:rPr>
            </w:pPr>
            <w:r>
              <w:rPr>
                <w:rFonts w:hint="eastAsia" w:ascii="宋体" w:hAnsi="宋体" w:cs="宋体"/>
                <w:snapToGrid w:val="0"/>
                <w:kern w:val="0"/>
                <w:sz w:val="24"/>
                <w:highlight w:val="none"/>
              </w:rPr>
              <w:t>只选</w:t>
            </w:r>
            <w:r>
              <w:rPr>
                <w:rFonts w:ascii="宋体" w:hAnsi="宋体" w:cs="宋体"/>
                <w:snapToGrid w:val="0"/>
                <w:kern w:val="0"/>
                <w:sz w:val="24"/>
                <w:highlight w:val="none"/>
              </w:rPr>
              <w:t xml:space="preserve">B; </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r>
              <w:rPr>
                <w:rFonts w:hint="eastAsia" w:ascii="宋体" w:hAnsi="宋体" w:cs="仿宋"/>
                <w:snapToGrid w:val="0"/>
                <w:kern w:val="0"/>
                <w:sz w:val="24"/>
                <w:highlight w:val="none"/>
              </w:rPr>
              <w:t>只选</w:t>
            </w:r>
            <w:r>
              <w:rPr>
                <w:rFonts w:ascii="宋体" w:hAnsi="宋体"/>
                <w:snapToGrid w:val="0"/>
                <w:kern w:val="0"/>
                <w:sz w:val="24"/>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pPr>
        <w:rPr>
          <w:highlight w:val="none"/>
        </w:rPr>
      </w:pPr>
    </w:p>
    <w:p>
      <w:pPr>
        <w:widowControl/>
        <w:shd w:val="clear" w:color="auto" w:fill="FFFFFF"/>
        <w:spacing w:line="660" w:lineRule="exact"/>
        <w:rPr>
          <w:rFonts w:ascii="方正小标宋简体" w:hAnsi="仿宋" w:eastAsia="方正小标宋简体" w:cs="Arial"/>
          <w:snapToGrid w:val="0"/>
          <w:kern w:val="0"/>
          <w:sz w:val="36"/>
          <w:szCs w:val="36"/>
          <w:highlight w:val="none"/>
        </w:rPr>
      </w:pPr>
    </w:p>
    <w:p>
      <w:pPr>
        <w:widowControl/>
        <w:shd w:val="clear" w:color="auto" w:fill="FFFFFF"/>
        <w:spacing w:line="660" w:lineRule="exact"/>
        <w:jc w:val="center"/>
        <w:rPr>
          <w:rFonts w:ascii="方正小标宋简体" w:hAnsi="仿宋" w:eastAsia="方正小标宋简体" w:cs="宋体"/>
          <w:snapToGrid w:val="0"/>
          <w:kern w:val="0"/>
          <w:sz w:val="44"/>
          <w:szCs w:val="44"/>
          <w:highlight w:val="none"/>
        </w:rPr>
      </w:pPr>
      <w:r>
        <w:rPr>
          <w:rFonts w:hint="eastAsia" w:ascii="方正小标宋简体" w:hAnsi="仿宋" w:eastAsia="方正小标宋简体" w:cs="Arial"/>
          <w:snapToGrid w:val="0"/>
          <w:kern w:val="0"/>
          <w:sz w:val="36"/>
          <w:szCs w:val="36"/>
          <w:highlight w:val="none"/>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一、考试性质</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kern w:val="0"/>
          <w:sz w:val="32"/>
          <w:szCs w:val="32"/>
          <w:highlight w:val="none"/>
        </w:rPr>
        <w:t>。</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二、考试目标</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三、考试内容模块及要求</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（一）教育心理学。</w:t>
      </w:r>
    </w:p>
    <w:p>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Arial"/>
          <w:bCs/>
          <w:snapToGrid w:val="0"/>
          <w:kern w:val="0"/>
          <w:sz w:val="32"/>
          <w:szCs w:val="32"/>
          <w:highlight w:val="none"/>
        </w:rPr>
        <w:t>1.绪论。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1）理解教育心理学的含义。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3）了解教育心理学</w:t>
      </w:r>
      <w:r>
        <w:rPr>
          <w:rFonts w:hint="eastAsia" w:ascii="仿宋" w:hAnsi="仿宋" w:eastAsia="仿宋" w:cs="仿宋"/>
          <w:snapToGrid w:val="0"/>
          <w:kern w:val="0"/>
          <w:sz w:val="32"/>
          <w:szCs w:val="32"/>
          <w:highlight w:val="none"/>
        </w:rPr>
        <w:t>的主要代表人物及其理论观点。</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2.学生心理</w:t>
      </w:r>
      <w:r>
        <w:rPr>
          <w:rFonts w:hint="eastAsia" w:ascii="仿宋" w:hAnsi="仿宋" w:eastAsia="仿宋" w:cs="Arial"/>
          <w:bCs/>
          <w:snapToGrid w:val="0"/>
          <w:kern w:val="0"/>
          <w:sz w:val="32"/>
          <w:szCs w:val="32"/>
          <w:highlight w:val="none"/>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hint="eastAsia" w:ascii="仿宋" w:hAnsi="仿宋" w:eastAsia="仿宋" w:cs="Arial"/>
          <w:bCs/>
          <w:snapToGrid w:val="0"/>
          <w:kern w:val="0"/>
          <w:sz w:val="32"/>
          <w:szCs w:val="32"/>
          <w:highlight w:val="none"/>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3）学生人格发展与教育。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4）学</w:t>
      </w:r>
      <w:r>
        <w:rPr>
          <w:rFonts w:hint="eastAsia" w:ascii="仿宋" w:hAnsi="仿宋" w:eastAsia="仿宋" w:cs="Arial"/>
          <w:snapToGrid w:val="0"/>
          <w:kern w:val="0"/>
          <w:sz w:val="32"/>
          <w:szCs w:val="32"/>
          <w:highlight w:val="none"/>
        </w:rPr>
        <w:t>生个别差异与教育。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了解感觉通道的差异，掌握场依存型与场独立型、冲动型与沉思型的含义及特点</w:t>
      </w:r>
      <w:r>
        <w:rPr>
          <w:rFonts w:ascii="仿宋" w:hAnsi="仿宋" w:eastAsia="仿宋" w:cs="Arial"/>
          <w:snapToGrid w:val="0"/>
          <w:kern w:val="0"/>
          <w:sz w:val="32"/>
          <w:szCs w:val="32"/>
          <w:highlight w:val="none"/>
        </w:rPr>
        <w:t>,</w:t>
      </w:r>
      <w:r>
        <w:rPr>
          <w:rFonts w:hint="eastAsia" w:ascii="仿宋" w:hAnsi="仿宋" w:eastAsia="仿宋" w:cs="Arial"/>
          <w:snapToGrid w:val="0"/>
          <w:kern w:val="0"/>
          <w:sz w:val="32"/>
          <w:szCs w:val="32"/>
          <w:highlight w:val="none"/>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了解性格的含义及类型</w:t>
      </w:r>
      <w:r>
        <w:rPr>
          <w:rFonts w:ascii="仿宋" w:hAnsi="仿宋" w:eastAsia="仿宋" w:cs="Arial"/>
          <w:snapToGrid w:val="0"/>
          <w:kern w:val="0"/>
          <w:sz w:val="32"/>
          <w:szCs w:val="32"/>
          <w:highlight w:val="none"/>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highlight w:val="none"/>
        </w:rPr>
        <w:t>如焦虑症、抑郁症、强迫症、人格障碍与人格缺陷等</w:t>
      </w:r>
      <w:r>
        <w:rPr>
          <w:rFonts w:hint="eastAsia" w:ascii="仿宋" w:hAnsi="仿宋" w:eastAsia="仿宋" w:cs="Arial"/>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w:t>
      </w:r>
      <w:r>
        <w:rPr>
          <w:rFonts w:hint="eastAsia" w:ascii="仿宋" w:hAnsi="仿宋" w:eastAsia="仿宋" w:cs="仿宋"/>
          <w:bCs/>
          <w:snapToGrid w:val="0"/>
          <w:kern w:val="0"/>
          <w:sz w:val="32"/>
          <w:szCs w:val="32"/>
          <w:highlight w:val="none"/>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了解教师职业生涯规划概念，理解教师职业生涯规划的影响因素，</w:t>
      </w: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了解角色的含义，理解教师角色</w:t>
      </w:r>
      <w:r>
        <w:rPr>
          <w:rFonts w:hint="eastAsia" w:ascii="仿宋" w:hAnsi="仿宋" w:eastAsia="仿宋" w:cs="宋体"/>
          <w:snapToGrid w:val="0"/>
          <w:kern w:val="0"/>
          <w:sz w:val="32"/>
          <w:szCs w:val="32"/>
          <w:highlight w:val="none"/>
        </w:rPr>
        <w:t>的构成</w:t>
      </w:r>
      <w:r>
        <w:rPr>
          <w:rFonts w:hint="eastAsia" w:ascii="仿宋" w:hAnsi="仿宋" w:eastAsia="仿宋" w:cs="Arial"/>
          <w:snapToGrid w:val="0"/>
          <w:kern w:val="0"/>
          <w:sz w:val="32"/>
          <w:szCs w:val="32"/>
          <w:highlight w:val="none"/>
        </w:rPr>
        <w:t>与特征。</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2）教师的威信。</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6）教师的人格特征</w:t>
      </w:r>
      <w:r>
        <w:rPr>
          <w:rFonts w:hint="eastAsia" w:ascii="仿宋" w:hAnsi="仿宋" w:eastAsia="仿宋" w:cs="Arial"/>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4.学习心理。</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②认知学习理论。</w:t>
      </w:r>
    </w:p>
    <w:p>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掌握学习迁移的概念、分类及影响因素，了解学习迁移的基本理论。</w:t>
      </w:r>
      <w:r>
        <w:rPr>
          <w:rFonts w:hint="eastAsia" w:ascii="宋体" w:hAnsi="宋体" w:cs="宋体"/>
          <w:snapToGrid w:val="0"/>
          <w:kern w:val="0"/>
          <w:sz w:val="32"/>
          <w:szCs w:val="32"/>
          <w:highlight w:val="none"/>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（二）德育工作基础知识。</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1.德育概述</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w:t>
      </w:r>
      <w:r>
        <w:rPr>
          <w:rFonts w:hint="eastAsia" w:ascii="仿宋" w:hAnsi="仿宋" w:eastAsia="仿宋" w:cs="仿宋"/>
          <w:snapToGrid w:val="0"/>
          <w:kern w:val="0"/>
          <w:sz w:val="32"/>
          <w:szCs w:val="32"/>
          <w:highlight w:val="none"/>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2.德育目标和德育内容</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5）了解</w:t>
      </w:r>
      <w:r>
        <w:rPr>
          <w:rFonts w:hint="eastAsia" w:ascii="仿宋" w:hAnsi="仿宋" w:eastAsia="仿宋" w:cs="仿宋"/>
          <w:snapToGrid w:val="0"/>
          <w:kern w:val="0"/>
          <w:sz w:val="32"/>
          <w:szCs w:val="32"/>
          <w:highlight w:val="none"/>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3.德育过程</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4.德育原则</w:t>
      </w:r>
      <w:r>
        <w:rPr>
          <w:rFonts w:hint="eastAsia" w:ascii="仿宋" w:hAnsi="仿宋" w:eastAsia="仿宋" w:cs="Arial"/>
          <w:bCs/>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2）掌握中小学德育的主要原则及贯彻的基本要求</w:t>
      </w:r>
      <w:r>
        <w:rPr>
          <w:rFonts w:hint="eastAsia" w:ascii="仿宋" w:hAnsi="仿宋" w:eastAsia="仿宋" w:cs="仿宋"/>
          <w:snapToGrid w:val="0"/>
          <w:kern w:val="0"/>
          <w:sz w:val="32"/>
          <w:szCs w:val="32"/>
          <w:highlight w:val="none"/>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highlight w:val="none"/>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2）《中华人民共和国义务教育法》：理解</w:t>
      </w:r>
      <w:r>
        <w:rPr>
          <w:rFonts w:hint="eastAsia" w:ascii="仿宋" w:hAnsi="仿宋" w:eastAsia="仿宋" w:cs="仿宋"/>
          <w:snapToGrid w:val="0"/>
          <w:kern w:val="0"/>
          <w:sz w:val="32"/>
          <w:szCs w:val="32"/>
          <w:highlight w:val="none"/>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5）《中华人民共和国未成年人保护法》：了解《</w:t>
      </w:r>
      <w:r>
        <w:rPr>
          <w:rFonts w:hint="eastAsia" w:ascii="仿宋" w:hAnsi="仿宋" w:eastAsia="仿宋" w:cs="仿宋"/>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6）《中华人民共和国预防未成年人犯罪法》：理解预防</w:t>
      </w:r>
      <w:r>
        <w:rPr>
          <w:rFonts w:hint="eastAsia" w:ascii="仿宋" w:hAnsi="仿宋" w:eastAsia="仿宋" w:cs="仿宋"/>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8）《关于全面深化新时代教师队伍建设改革的意见》：了解新时代教师队伍建设的指导思想、基本原则、目标</w:t>
      </w:r>
      <w:r>
        <w:rPr>
          <w:rFonts w:hint="eastAsia" w:ascii="仿宋" w:hAnsi="仿宋" w:eastAsia="仿宋" w:cs="仿宋"/>
          <w:snapToGrid w:val="0"/>
          <w:kern w:val="0"/>
          <w:sz w:val="32"/>
          <w:szCs w:val="32"/>
          <w:highlight w:val="none"/>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9）《依法治教实施纲要（2016—</w:t>
      </w:r>
      <w:r>
        <w:rPr>
          <w:rFonts w:hint="eastAsia" w:ascii="仿宋" w:hAnsi="仿宋" w:eastAsia="仿宋" w:cs="仿宋"/>
          <w:snapToGrid w:val="0"/>
          <w:kern w:val="0"/>
          <w:sz w:val="32"/>
          <w:szCs w:val="32"/>
          <w:highlight w:val="none"/>
          <w:lang w:eastAsia="zh-CN"/>
        </w:rPr>
        <w:t>2025</w:t>
      </w:r>
      <w:r>
        <w:rPr>
          <w:rFonts w:ascii="仿宋" w:hAnsi="仿宋" w:eastAsia="仿宋" w:cs="仿宋"/>
          <w:snapToGrid w:val="0"/>
          <w:kern w:val="0"/>
          <w:sz w:val="32"/>
          <w:szCs w:val="32"/>
          <w:highlight w:val="none"/>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highlight w:val="none"/>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四、试卷结构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Arial"/>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约25</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ascii="宋体" w:hAnsi="宋体" w:cs="宋体"/>
                <w:snapToGrid w:val="0"/>
                <w:kern w:val="0"/>
                <w:sz w:val="24"/>
                <w:highlight w:val="none"/>
              </w:rPr>
              <w:t>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hint="eastAsia" w:ascii="宋体" w:hAnsi="宋体" w:cs="宋体"/>
                <w:snapToGrid w:val="0"/>
                <w:kern w:val="0"/>
                <w:sz w:val="24"/>
                <w:highlight w:val="none"/>
                <w:lang w:val="en-US" w:eastAsia="zh-CN"/>
              </w:rPr>
              <w:t>20</w:t>
            </w:r>
            <w:r>
              <w:rPr>
                <w:rFonts w:ascii="宋体" w:hAnsi="宋体" w:cs="宋体"/>
                <w:snapToGrid w:val="0"/>
                <w:kern w:val="0"/>
                <w:sz w:val="24"/>
                <w:highlight w:val="none"/>
              </w:rPr>
              <w:t>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约70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highlight w:val="none"/>
              </w:rPr>
            </w:pPr>
            <w:r>
              <w:rPr>
                <w:rFonts w:hint="eastAsia" w:ascii="宋体" w:hAnsi="宋体" w:cs="仿宋"/>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（容易题、中等难度题、较难题的赋分比例约为</w:t>
      </w:r>
      <w:r>
        <w:rPr>
          <w:rFonts w:ascii="仿宋" w:hAnsi="仿宋" w:eastAsia="仿宋" w:cs="Arial"/>
          <w:snapToGrid w:val="0"/>
          <w:kern w:val="0"/>
          <w:sz w:val="32"/>
          <w:szCs w:val="32"/>
          <w:highlight w:val="none"/>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（一）单项选择题。（本大题共40</w:t>
      </w:r>
      <w:r>
        <w:rPr>
          <w:rFonts w:ascii="楷体" w:hAnsi="楷体" w:eastAsia="楷体" w:cs="Arial"/>
          <w:bCs/>
          <w:snapToGrid w:val="0"/>
          <w:kern w:val="0"/>
          <w:sz w:val="32"/>
          <w:szCs w:val="32"/>
          <w:highlight w:val="none"/>
        </w:rPr>
        <w:t>题，每小题</w:t>
      </w:r>
      <w:r>
        <w:rPr>
          <w:rFonts w:hint="eastAsia" w:ascii="楷体" w:hAnsi="楷体" w:eastAsia="楷体" w:cs="Arial"/>
          <w:bCs/>
          <w:snapToGrid w:val="0"/>
          <w:kern w:val="0"/>
          <w:sz w:val="32"/>
          <w:szCs w:val="32"/>
          <w:highlight w:val="none"/>
        </w:rPr>
        <w:t>1</w:t>
      </w:r>
      <w:r>
        <w:rPr>
          <w:rFonts w:ascii="楷体" w:hAnsi="楷体" w:eastAsia="楷体" w:cs="Arial"/>
          <w:bCs/>
          <w:snapToGrid w:val="0"/>
          <w:kern w:val="0"/>
          <w:sz w:val="32"/>
          <w:szCs w:val="32"/>
          <w:highlight w:val="none"/>
        </w:rPr>
        <w:t>分，共</w:t>
      </w:r>
      <w:r>
        <w:rPr>
          <w:rFonts w:hint="eastAsia" w:ascii="楷体" w:hAnsi="楷体" w:eastAsia="楷体" w:cs="Arial"/>
          <w:bCs/>
          <w:snapToGrid w:val="0"/>
          <w:kern w:val="0"/>
          <w:sz w:val="32"/>
          <w:szCs w:val="32"/>
          <w:highlight w:val="none"/>
        </w:rPr>
        <w:t>40</w:t>
      </w:r>
      <w:r>
        <w:rPr>
          <w:rFonts w:ascii="楷体" w:hAnsi="楷体" w:eastAsia="楷体" w:cs="Arial"/>
          <w:bCs/>
          <w:snapToGrid w:val="0"/>
          <w:kern w:val="0"/>
          <w:sz w:val="32"/>
          <w:szCs w:val="32"/>
          <w:highlight w:val="none"/>
        </w:rPr>
        <w:t>分）</w:t>
      </w:r>
    </w:p>
    <w:p>
      <w:pPr>
        <w:widowControl/>
        <w:shd w:val="clear" w:color="auto" w:fill="FFFFFF"/>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【例</w:t>
      </w:r>
      <w:r>
        <w:rPr>
          <w:rFonts w:ascii="仿宋" w:hAnsi="仿宋" w:eastAsia="仿宋" w:cs="Arial"/>
          <w:bCs/>
          <w:snapToGrid w:val="0"/>
          <w:kern w:val="0"/>
          <w:sz w:val="32"/>
          <w:szCs w:val="32"/>
          <w:highlight w:val="none"/>
        </w:rPr>
        <w:t>1】斯金纳的谜箱实验发现：小白鼠在谜箱中乱窜，无</w:t>
      </w:r>
      <w:r>
        <w:rPr>
          <w:rFonts w:hint="eastAsia" w:ascii="仿宋" w:hAnsi="仿宋" w:eastAsia="仿宋" w:cs="Arial"/>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 xml:space="preserve">A．分化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w:t>
      </w:r>
      <w:r>
        <w:rPr>
          <w:rFonts w:hint="eastAsia" w:ascii="仿宋" w:hAnsi="仿宋" w:eastAsia="仿宋" w:cs="Arial"/>
          <w:bCs/>
          <w:snapToGrid w:val="0"/>
          <w:kern w:val="0"/>
          <w:sz w:val="32"/>
          <w:szCs w:val="32"/>
          <w:highlight w:val="none"/>
        </w:rPr>
        <w:t>强化</w:t>
      </w:r>
    </w:p>
    <w:p>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C．</w:t>
      </w:r>
      <w:r>
        <w:rPr>
          <w:rFonts w:hint="eastAsia" w:ascii="仿宋" w:hAnsi="仿宋" w:eastAsia="仿宋" w:cs="Arial"/>
          <w:bCs/>
          <w:snapToGrid w:val="0"/>
          <w:kern w:val="0"/>
          <w:sz w:val="32"/>
          <w:szCs w:val="32"/>
          <w:highlight w:val="none"/>
        </w:rPr>
        <w:t>泛化</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w:t>
      </w:r>
      <w:r>
        <w:rPr>
          <w:rFonts w:hint="eastAsia" w:ascii="仿宋" w:hAnsi="仿宋" w:eastAsia="仿宋" w:cs="Arial"/>
          <w:bCs/>
          <w:snapToGrid w:val="0"/>
          <w:kern w:val="0"/>
          <w:sz w:val="32"/>
          <w:szCs w:val="32"/>
          <w:highlight w:val="none"/>
        </w:rPr>
        <w:t>类化</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解析：</w:t>
      </w:r>
      <w:r>
        <w:rPr>
          <w:rFonts w:ascii="仿宋" w:hAnsi="仿宋" w:eastAsia="仿宋" w:cs="Arial"/>
          <w:bCs/>
          <w:snapToGrid w:val="0"/>
          <w:kern w:val="0"/>
          <w:sz w:val="32"/>
          <w:szCs w:val="32"/>
          <w:highlight w:val="none"/>
        </w:rPr>
        <w:t>操作性条件反射</w:t>
      </w:r>
      <w:r>
        <w:rPr>
          <w:rFonts w:hint="eastAsia" w:ascii="仿宋" w:hAnsi="仿宋" w:eastAsia="仿宋" w:cs="Arial"/>
          <w:bCs/>
          <w:snapToGrid w:val="0"/>
          <w:kern w:val="0"/>
          <w:sz w:val="32"/>
          <w:szCs w:val="32"/>
          <w:highlight w:val="none"/>
        </w:rPr>
        <w:t>是</w:t>
      </w:r>
      <w:r>
        <w:rPr>
          <w:rFonts w:ascii="仿宋" w:hAnsi="仿宋" w:eastAsia="仿宋" w:cs="Arial"/>
          <w:bCs/>
          <w:snapToGrid w:val="0"/>
          <w:kern w:val="0"/>
          <w:sz w:val="32"/>
          <w:szCs w:val="32"/>
          <w:highlight w:val="none"/>
        </w:rPr>
        <w:t>由美国心理学家</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highlight w:val="none"/>
        </w:rPr>
        <w:t>实验</w:t>
      </w:r>
      <w:r>
        <w:rPr>
          <w:rFonts w:ascii="仿宋" w:hAnsi="仿宋" w:eastAsia="仿宋" w:cs="Arial"/>
          <w:bCs/>
          <w:snapToGrid w:val="0"/>
          <w:kern w:val="0"/>
          <w:sz w:val="32"/>
          <w:szCs w:val="32"/>
          <w:highlight w:val="none"/>
        </w:rPr>
        <w:t>发现，动物的学习行为是随着一个起强化作用的</w:t>
      </w:r>
      <w:r>
        <w:rPr>
          <w:rFonts w:hint="eastAsia" w:ascii="仿宋" w:hAnsi="仿宋" w:eastAsia="仿宋" w:cs="Arial"/>
          <w:bCs/>
          <w:snapToGrid w:val="0"/>
          <w:kern w:val="0"/>
          <w:sz w:val="32"/>
          <w:szCs w:val="32"/>
          <w:highlight w:val="none"/>
        </w:rPr>
        <w:t>刺激</w:t>
      </w:r>
      <w:r>
        <w:rPr>
          <w:rFonts w:ascii="仿宋" w:hAnsi="仿宋" w:eastAsia="仿宋" w:cs="Arial"/>
          <w:bCs/>
          <w:snapToGrid w:val="0"/>
          <w:kern w:val="0"/>
          <w:sz w:val="32"/>
          <w:szCs w:val="32"/>
          <w:highlight w:val="none"/>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强化理论是斯金纳理论的最重要部分和基础，强化是指通过某一</w:t>
      </w:r>
      <w:r>
        <w:rPr>
          <w:rFonts w:hint="eastAsia" w:ascii="仿宋" w:hAnsi="仿宋" w:eastAsia="仿宋" w:cs="Arial"/>
          <w:bCs/>
          <w:snapToGrid w:val="0"/>
          <w:kern w:val="0"/>
          <w:sz w:val="32"/>
          <w:szCs w:val="32"/>
          <w:highlight w:val="none"/>
        </w:rPr>
        <w:t>事物</w:t>
      </w:r>
      <w:r>
        <w:rPr>
          <w:rFonts w:ascii="仿宋" w:hAnsi="仿宋" w:eastAsia="仿宋" w:cs="Arial"/>
          <w:bCs/>
          <w:snapToGrid w:val="0"/>
          <w:kern w:val="0"/>
          <w:sz w:val="32"/>
          <w:szCs w:val="32"/>
          <w:highlight w:val="none"/>
        </w:rPr>
        <w:t>增强某种行为的过程。</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highlight w:val="none"/>
        </w:rPr>
        <w:t>本题的</w:t>
      </w:r>
      <w:r>
        <w:rPr>
          <w:rFonts w:ascii="仿宋" w:hAnsi="仿宋" w:eastAsia="仿宋" w:cs="Arial"/>
          <w:bCs/>
          <w:snapToGrid w:val="0"/>
          <w:kern w:val="0"/>
          <w:sz w:val="32"/>
          <w:szCs w:val="32"/>
          <w:highlight w:val="none"/>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1</w:t>
            </w:r>
            <w:r>
              <w:rPr>
                <w:rFonts w:ascii="仿宋" w:hAnsi="仿宋" w:eastAsia="仿宋" w:cs="宋体"/>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选</w:t>
            </w:r>
            <w:r>
              <w:rPr>
                <w:rFonts w:ascii="仿宋" w:hAnsi="仿宋" w:eastAsia="仿宋" w:cs="Arial"/>
                <w:snapToGrid w:val="0"/>
                <w:kern w:val="0"/>
                <w:sz w:val="32"/>
                <w:szCs w:val="32"/>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ascii="仿宋" w:hAnsi="仿宋" w:eastAsia="仿宋" w:cs="宋体"/>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错选、多选或未选</w:t>
            </w:r>
          </w:p>
        </w:tc>
      </w:tr>
    </w:tbl>
    <w:p>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pPr>
        <w:shd w:val="clear" w:color="auto" w:fill="FFFFFF"/>
        <w:spacing w:line="570" w:lineRule="exact"/>
        <w:ind w:firstLine="640" w:firstLineChars="200"/>
        <w:jc w:val="left"/>
        <w:rPr>
          <w:rFonts w:ascii="楷体" w:hAnsi="楷体" w:eastAsia="楷体" w:cs="Arial"/>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楷体" w:hAnsi="楷体" w:eastAsia="楷体" w:cs="Arial"/>
          <w:snapToGrid w:val="0"/>
          <w:kern w:val="0"/>
          <w:sz w:val="32"/>
          <w:szCs w:val="32"/>
          <w:highlight w:val="none"/>
        </w:rPr>
        <w:t>）</w:t>
      </w:r>
    </w:p>
    <w:p>
      <w:pPr>
        <w:widowControl/>
        <w:shd w:val="clear" w:color="auto" w:fill="FFFFFF"/>
        <w:spacing w:line="570" w:lineRule="exact"/>
        <w:ind w:firstLine="643" w:firstLineChars="200"/>
        <w:jc w:val="left"/>
        <w:rPr>
          <w:rFonts w:ascii="仿宋" w:hAnsi="仿宋" w:eastAsia="仿宋" w:cs="Arial"/>
          <w:bCs/>
          <w:snapToGrid w:val="0"/>
          <w:kern w:val="0"/>
          <w:sz w:val="32"/>
          <w:szCs w:val="32"/>
          <w:highlight w:val="none"/>
        </w:rPr>
      </w:pPr>
      <w:r>
        <w:rPr>
          <w:rFonts w:hint="eastAsia" w:ascii="仿宋" w:hAnsi="仿宋" w:eastAsia="仿宋" w:cs="仿宋"/>
          <w:b/>
          <w:bCs/>
          <w:snapToGrid w:val="0"/>
          <w:kern w:val="0"/>
          <w:sz w:val="32"/>
          <w:szCs w:val="32"/>
          <w:highlight w:val="none"/>
        </w:rPr>
        <w:t>【例</w:t>
      </w:r>
      <w:r>
        <w:rPr>
          <w:rFonts w:ascii="仿宋" w:hAnsi="仿宋" w:eastAsia="仿宋" w:cs="仿宋"/>
          <w:b/>
          <w:bCs/>
          <w:snapToGrid w:val="0"/>
          <w:kern w:val="0"/>
          <w:sz w:val="32"/>
          <w:szCs w:val="32"/>
          <w:highlight w:val="none"/>
        </w:rPr>
        <w:t>1】</w:t>
      </w:r>
      <w:bookmarkStart w:id="1" w:name="BkEDIT74TG"/>
      <w:r>
        <w:rPr>
          <w:rFonts w:hint="eastAsia" w:ascii="仿宋" w:hAnsi="仿宋" w:eastAsia="仿宋" w:cs="Arial"/>
          <w:bCs/>
          <w:snapToGrid w:val="0"/>
          <w:kern w:val="0"/>
          <w:sz w:val="32"/>
          <w:szCs w:val="32"/>
          <w:highlight w:val="none"/>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A．榜样示范法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C．情感陶冶法</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D．理想激励法</w:t>
      </w:r>
    </w:p>
    <w:bookmarkEnd w:id="1"/>
    <w:p>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highlight w:val="none"/>
        </w:rPr>
        <w:t>选项</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2.5</w:t>
            </w:r>
            <w:r>
              <w:rPr>
                <w:rFonts w:ascii="宋体" w:hAnsi="宋体" w:cs="宋体"/>
                <w:snapToGrid w:val="0"/>
                <w:kern w:val="0"/>
                <w:sz w:val="24"/>
                <w:highlight w:val="none"/>
              </w:rPr>
              <w:t>分</w:t>
            </w:r>
          </w:p>
        </w:tc>
        <w:tc>
          <w:tcPr>
            <w:tcW w:w="6530" w:type="dxa"/>
            <w:vAlign w:val="center"/>
          </w:tcPr>
          <w:p>
            <w:pPr>
              <w:widowControl/>
              <w:spacing w:line="570" w:lineRule="exact"/>
              <w:jc w:val="center"/>
              <w:rPr>
                <w:rFonts w:ascii="宋体" w:hAnsi="宋体" w:cs="宋体"/>
                <w:snapToGrid w:val="0"/>
                <w:kern w:val="0"/>
                <w:sz w:val="24"/>
                <w:highlight w:val="none"/>
              </w:rPr>
            </w:pPr>
            <w:r>
              <w:rPr>
                <w:rFonts w:ascii="宋体" w:hAnsi="宋体" w:cs="Arial"/>
                <w:bCs/>
                <w:snapToGrid w:val="0"/>
                <w:kern w:val="0"/>
                <w:sz w:val="24"/>
                <w:highlight w:val="none"/>
              </w:rPr>
              <w:t>B</w:t>
            </w:r>
            <w:r>
              <w:rPr>
                <w:rFonts w:ascii="宋体" w:hAnsi="宋体" w:cs="Arial"/>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0.5分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只选</w:t>
            </w:r>
            <w:r>
              <w:rPr>
                <w:rFonts w:ascii="宋体" w:hAnsi="宋体" w:cs="Arial"/>
                <w:bCs/>
                <w:snapToGrid w:val="0"/>
                <w:kern w:val="0"/>
                <w:sz w:val="24"/>
                <w:highlight w:val="none"/>
              </w:rPr>
              <w:t>B</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vAlign w:val="center"/>
          </w:tcPr>
          <w:p>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（三）判断题。</w:t>
      </w:r>
      <w:r>
        <w:rPr>
          <w:rFonts w:hint="eastAsia" w:ascii="楷体" w:hAnsi="楷体" w:eastAsia="楷体" w:cs="仿宋"/>
          <w:snapToGrid w:val="0"/>
          <w:kern w:val="0"/>
          <w:sz w:val="32"/>
          <w:szCs w:val="32"/>
          <w:highlight w:val="none"/>
        </w:rPr>
        <w:t>（本大题共1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rPr>
        <w:t>1</w:t>
      </w:r>
      <w:r>
        <w:rPr>
          <w:rFonts w:ascii="楷体" w:hAnsi="楷体" w:eastAsia="楷体" w:cs="仿宋"/>
          <w:snapToGrid w:val="0"/>
          <w:kern w:val="0"/>
          <w:sz w:val="32"/>
          <w:szCs w:val="32"/>
          <w:highlight w:val="none"/>
        </w:rPr>
        <w:t>分，共1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分）</w:t>
      </w:r>
    </w:p>
    <w:p>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判断各题的正误，你认为正确的用</w:t>
      </w:r>
      <w:r>
        <w:rPr>
          <w:rFonts w:ascii="仿宋" w:hAnsi="仿宋" w:eastAsia="仿宋" w:cs="仿宋"/>
          <w:snapToGrid w:val="0"/>
          <w:kern w:val="0"/>
          <w:sz w:val="32"/>
          <w:szCs w:val="32"/>
          <w:highlight w:val="none"/>
        </w:rPr>
        <w:t>T</w:t>
      </w:r>
      <w:r>
        <w:rPr>
          <w:rFonts w:hint="eastAsia" w:ascii="仿宋" w:hAnsi="仿宋" w:eastAsia="仿宋" w:cs="仿宋"/>
          <w:snapToGrid w:val="0"/>
          <w:kern w:val="0"/>
          <w:sz w:val="32"/>
          <w:szCs w:val="32"/>
          <w:highlight w:val="none"/>
        </w:rPr>
        <w:t>来表示，认为错误的用</w:t>
      </w:r>
      <w:r>
        <w:rPr>
          <w:rFonts w:ascii="仿宋" w:hAnsi="仿宋" w:eastAsia="仿宋" w:cs="仿宋"/>
          <w:snapToGrid w:val="0"/>
          <w:kern w:val="0"/>
          <w:sz w:val="32"/>
          <w:szCs w:val="32"/>
          <w:highlight w:val="none"/>
        </w:rPr>
        <w:t>F</w:t>
      </w:r>
      <w:r>
        <w:rPr>
          <w:rFonts w:hint="eastAsia" w:ascii="仿宋" w:hAnsi="仿宋" w:eastAsia="仿宋" w:cs="仿宋"/>
          <w:snapToGrid w:val="0"/>
          <w:kern w:val="0"/>
          <w:sz w:val="32"/>
          <w:szCs w:val="32"/>
          <w:highlight w:val="none"/>
        </w:rPr>
        <w:t>来表示，并将其代码填涂在答题卡上。</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【例</w:t>
      </w:r>
      <w:r>
        <w:rPr>
          <w:rFonts w:ascii="仿宋" w:hAnsi="仿宋" w:eastAsia="仿宋" w:cs="仿宋"/>
          <w:bCs/>
          <w:snapToGrid w:val="0"/>
          <w:kern w:val="0"/>
          <w:sz w:val="32"/>
          <w:szCs w:val="32"/>
          <w:highlight w:val="none"/>
        </w:rPr>
        <w:t>1】</w:t>
      </w:r>
      <w:r>
        <w:rPr>
          <w:rFonts w:hint="eastAsia" w:ascii="仿宋" w:hAnsi="仿宋" w:eastAsia="仿宋"/>
          <w:snapToGrid w:val="0"/>
          <w:kern w:val="0"/>
          <w:sz w:val="32"/>
          <w:szCs w:val="32"/>
          <w:highlight w:val="none"/>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解析：《中小学教师职业道德规范》之“</w:t>
      </w:r>
      <w:r>
        <w:rPr>
          <w:rFonts w:ascii="仿宋" w:hAnsi="仿宋" w:eastAsia="仿宋" w:cs="宋体"/>
          <w:snapToGrid w:val="0"/>
          <w:kern w:val="0"/>
          <w:sz w:val="32"/>
          <w:szCs w:val="32"/>
          <w:highlight w:val="none"/>
        </w:rPr>
        <w:t>爱岗敬业</w:t>
      </w:r>
      <w:r>
        <w:rPr>
          <w:rFonts w:hint="eastAsia" w:ascii="仿宋" w:hAnsi="仿宋" w:eastAsia="仿宋" w:cs="仿宋"/>
          <w:bCs/>
          <w:snapToGrid w:val="0"/>
          <w:kern w:val="0"/>
          <w:sz w:val="32"/>
          <w:szCs w:val="32"/>
          <w:highlight w:val="none"/>
        </w:rPr>
        <w:t>”要求教师要</w:t>
      </w:r>
      <w:r>
        <w:rPr>
          <w:rFonts w:ascii="仿宋" w:hAnsi="仿宋" w:eastAsia="仿宋" w:cs="宋体"/>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不仅仅体现在对学生的教书育人</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对教育事业的热爱和奉献</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还体现在</w:t>
      </w:r>
      <w:r>
        <w:rPr>
          <w:rFonts w:hint="eastAsia" w:ascii="仿宋" w:hAnsi="仿宋" w:eastAsia="仿宋" w:cs="宋体"/>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highlight w:val="none"/>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1</w:t>
            </w:r>
            <w:r>
              <w:rPr>
                <w:rFonts w:ascii="宋体" w:hAnsi="宋体" w:cs="仿宋"/>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（四）材料分析题。</w:t>
      </w:r>
      <w:r>
        <w:rPr>
          <w:rFonts w:hint="eastAsia" w:ascii="楷体" w:hAnsi="楷体" w:eastAsia="楷体" w:cs="仿宋"/>
          <w:snapToGrid w:val="0"/>
          <w:kern w:val="0"/>
          <w:sz w:val="32"/>
          <w:szCs w:val="32"/>
          <w:highlight w:val="none"/>
        </w:rPr>
        <w:t>（本大题共5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lang w:val="en-US" w:eastAsia="zh-CN"/>
        </w:rPr>
        <w:t>4</w:t>
      </w:r>
      <w:r>
        <w:rPr>
          <w:rFonts w:ascii="楷体" w:hAnsi="楷体" w:eastAsia="楷体" w:cs="仿宋"/>
          <w:snapToGrid w:val="0"/>
          <w:kern w:val="0"/>
          <w:sz w:val="32"/>
          <w:szCs w:val="32"/>
          <w:highlight w:val="none"/>
        </w:rPr>
        <w:t>分，共</w:t>
      </w:r>
      <w:r>
        <w:rPr>
          <w:rFonts w:hint="eastAsia" w:ascii="楷体" w:hAnsi="楷体" w:eastAsia="楷体" w:cs="仿宋"/>
          <w:snapToGrid w:val="0"/>
          <w:kern w:val="0"/>
          <w:sz w:val="32"/>
          <w:szCs w:val="32"/>
          <w:highlight w:val="none"/>
        </w:rPr>
        <w:t>2</w:t>
      </w:r>
      <w:r>
        <w:rPr>
          <w:rFonts w:hint="eastAsia" w:ascii="楷体" w:hAnsi="楷体" w:eastAsia="楷体" w:cs="仿宋"/>
          <w:snapToGrid w:val="0"/>
          <w:kern w:val="0"/>
          <w:sz w:val="32"/>
          <w:szCs w:val="32"/>
          <w:highlight w:val="none"/>
          <w:lang w:val="en-US" w:eastAsia="zh-CN"/>
        </w:rPr>
        <w:t>0</w:t>
      </w:r>
      <w:r>
        <w:rPr>
          <w:rFonts w:ascii="楷体" w:hAnsi="楷体" w:eastAsia="楷体" w:cs="仿宋"/>
          <w:snapToGrid w:val="0"/>
          <w:kern w:val="0"/>
          <w:sz w:val="32"/>
          <w:szCs w:val="32"/>
          <w:highlight w:val="none"/>
        </w:rPr>
        <w:t>分）</w:t>
      </w:r>
    </w:p>
    <w:p>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highlight w:val="none"/>
          <w:em w:val="dot"/>
        </w:rPr>
        <w:t>少选且选择正确的，每个选项答案给1</w:t>
      </w:r>
      <w:r>
        <w:rPr>
          <w:rFonts w:ascii="仿宋" w:hAnsi="仿宋" w:eastAsia="仿宋" w:cs="仿宋"/>
          <w:snapToGrid w:val="0"/>
          <w:kern w:val="0"/>
          <w:sz w:val="32"/>
          <w:szCs w:val="32"/>
          <w:highlight w:val="none"/>
          <w:em w:val="dot"/>
        </w:rPr>
        <w:t>分</w:t>
      </w:r>
      <w:r>
        <w:rPr>
          <w:rFonts w:hint="eastAsia" w:ascii="仿宋" w:hAnsi="仿宋" w:eastAsia="仿宋" w:cs="仿宋"/>
          <w:snapToGrid w:val="0"/>
          <w:kern w:val="0"/>
          <w:sz w:val="32"/>
          <w:szCs w:val="32"/>
          <w:highlight w:val="none"/>
        </w:rPr>
        <w:t>。</w:t>
      </w:r>
      <w:r>
        <w:rPr>
          <w:rFonts w:hint="eastAsia" w:ascii="宋体" w:hAnsi="宋体" w:cs="宋体"/>
          <w:snapToGrid w:val="0"/>
          <w:kern w:val="0"/>
          <w:sz w:val="32"/>
          <w:szCs w:val="32"/>
          <w:highlight w:val="none"/>
        </w:rPr>
        <w:t> </w:t>
      </w:r>
    </w:p>
    <w:p>
      <w:pPr>
        <w:spacing w:line="550" w:lineRule="exact"/>
        <w:rPr>
          <w:rFonts w:ascii="仿宋" w:hAnsi="仿宋" w:eastAsia="仿宋"/>
          <w:snapToGrid w:val="0"/>
          <w:kern w:val="0"/>
          <w:sz w:val="32"/>
          <w:szCs w:val="32"/>
          <w:highlight w:val="none"/>
        </w:rPr>
      </w:pPr>
      <w:r>
        <w:rPr>
          <w:rFonts w:ascii="仿宋" w:hAnsi="仿宋" w:eastAsia="仿宋" w:cs="仿宋"/>
          <w:bCs/>
          <w:snapToGrid w:val="0"/>
          <w:kern w:val="0"/>
          <w:sz w:val="32"/>
          <w:szCs w:val="32"/>
          <w:highlight w:val="none"/>
        </w:rPr>
        <w:t xml:space="preserve">    【例1】</w:t>
      </w:r>
      <w:r>
        <w:rPr>
          <w:rFonts w:hint="eastAsia" w:ascii="仿宋" w:hAnsi="仿宋" w:eastAsia="仿宋"/>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依据教学监控能力相关内容分析此材料，小杨采用提高教学监控能力的技术有</w:t>
      </w:r>
    </w:p>
    <w:p>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A．角色改变技术</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B．合作训练技术</w:t>
      </w:r>
    </w:p>
    <w:p>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C．教学反馈技术         </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D．现场指导技术</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运用提高教师教学监控能力的技术与方法。</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w:t>
      </w:r>
      <w:r>
        <w:rPr>
          <w:rFonts w:hint="eastAsia" w:ascii="仿宋" w:hAnsi="仿宋" w:eastAsia="仿宋"/>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highlight w:val="none"/>
        </w:rPr>
        <w:t>B选项不符合题意，本题属于运用层次，较难题。</w:t>
      </w:r>
      <w:r>
        <w:rPr>
          <w:rFonts w:hint="eastAsia" w:eastAsia="仿宋"/>
          <w:snapToGrid w:val="0"/>
          <w:kern w:val="0"/>
          <w:sz w:val="32"/>
          <w:szCs w:val="32"/>
          <w:highlight w:val="none"/>
        </w:rPr>
        <w:t>  </w:t>
      </w:r>
      <w:r>
        <w:rPr>
          <w:rFonts w:hint="eastAsia" w:ascii="仿宋" w:hAnsi="仿宋" w:eastAsia="仿宋"/>
          <w:bCs/>
          <w:snapToGrid w:val="0"/>
          <w:kern w:val="0"/>
          <w:sz w:val="32"/>
          <w:szCs w:val="32"/>
          <w:highlight w:val="none"/>
        </w:rPr>
        <w:t>答案：</w:t>
      </w:r>
      <w:r>
        <w:rPr>
          <w:rFonts w:ascii="仿宋" w:hAnsi="仿宋" w:eastAsia="仿宋"/>
          <w:bCs/>
          <w:snapToGrid w:val="0"/>
          <w:kern w:val="0"/>
          <w:sz w:val="32"/>
          <w:szCs w:val="32"/>
          <w:highlight w:val="none"/>
        </w:rPr>
        <w:t>A</w:t>
      </w:r>
      <w:r>
        <w:rPr>
          <w:rFonts w:ascii="仿宋" w:hAnsi="仿宋" w:eastAsia="仿宋"/>
          <w:snapToGrid w:val="0"/>
          <w:kern w:val="0"/>
          <w:sz w:val="32"/>
          <w:szCs w:val="32"/>
          <w:highlight w:val="none"/>
        </w:rPr>
        <w:t>CD</w:t>
      </w:r>
    </w:p>
    <w:p>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评分标准</w:t>
      </w:r>
      <w:r>
        <w:rPr>
          <w:rFonts w:hint="eastAsia" w:ascii="仿宋" w:hAnsi="仿宋" w:eastAsia="仿宋"/>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得分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lang w:val="en-US" w:eastAsia="zh-CN"/>
              </w:rPr>
              <w:t>4</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2</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1</w:t>
            </w:r>
            <w:r>
              <w:rPr>
                <w:rFonts w:ascii="宋体" w:hAnsi="宋体"/>
                <w:snapToGrid w:val="0"/>
                <w:kern w:val="0"/>
                <w:sz w:val="24"/>
                <w:highlight w:val="none"/>
              </w:rPr>
              <w:t>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单选</w:t>
            </w:r>
            <w:r>
              <w:rPr>
                <w:rFonts w:ascii="宋体" w:hAnsi="宋体"/>
                <w:snapToGrid w:val="0"/>
                <w:kern w:val="0"/>
                <w:sz w:val="24"/>
                <w:highlight w:val="none"/>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snapToGrid w:val="0"/>
                <w:kern w:val="0"/>
                <w:sz w:val="24"/>
                <w:highlight w:val="none"/>
              </w:rPr>
            </w:pPr>
            <w:r>
              <w:rPr>
                <w:rFonts w:ascii="宋体" w:hAnsi="宋体"/>
                <w:snapToGrid w:val="0"/>
                <w:kern w:val="0"/>
                <w:sz w:val="24"/>
                <w:highlight w:val="none"/>
              </w:rPr>
              <w:t>0分</w:t>
            </w:r>
          </w:p>
        </w:tc>
        <w:tc>
          <w:tcPr>
            <w:tcW w:w="6530" w:type="dxa"/>
            <w:vAlign w:val="center"/>
          </w:tcPr>
          <w:p>
            <w:pPr>
              <w:spacing w:line="570" w:lineRule="exact"/>
              <w:rPr>
                <w:rFonts w:ascii="宋体" w:hAnsi="宋体"/>
                <w:snapToGrid w:val="0"/>
                <w:kern w:val="0"/>
                <w:sz w:val="24"/>
                <w:highlight w:val="none"/>
              </w:rPr>
            </w:pPr>
            <w:r>
              <w:rPr>
                <w:rFonts w:hint="eastAsia" w:ascii="宋体" w:hAnsi="宋体"/>
                <w:snapToGrid w:val="0"/>
                <w:kern w:val="0"/>
                <w:sz w:val="24"/>
                <w:highlight w:val="none"/>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D813796"/>
    <w:rsid w:val="0E7106D6"/>
    <w:rsid w:val="0F4470B9"/>
    <w:rsid w:val="0F593A94"/>
    <w:rsid w:val="139E7DD9"/>
    <w:rsid w:val="154351F4"/>
    <w:rsid w:val="1B273FDC"/>
    <w:rsid w:val="23065016"/>
    <w:rsid w:val="27DF0ECC"/>
    <w:rsid w:val="2D9C247C"/>
    <w:rsid w:val="2E2A35E1"/>
    <w:rsid w:val="2F742864"/>
    <w:rsid w:val="32BD2B5B"/>
    <w:rsid w:val="32CE0166"/>
    <w:rsid w:val="34D22E72"/>
    <w:rsid w:val="36D0375E"/>
    <w:rsid w:val="39E76079"/>
    <w:rsid w:val="3C510E84"/>
    <w:rsid w:val="3F03223E"/>
    <w:rsid w:val="40F57964"/>
    <w:rsid w:val="4220051B"/>
    <w:rsid w:val="423B584A"/>
    <w:rsid w:val="465A1EE9"/>
    <w:rsid w:val="468F0157"/>
    <w:rsid w:val="46955D31"/>
    <w:rsid w:val="46F2291E"/>
    <w:rsid w:val="497C720E"/>
    <w:rsid w:val="4E661EA1"/>
    <w:rsid w:val="54332825"/>
    <w:rsid w:val="5672738B"/>
    <w:rsid w:val="57EE7C52"/>
    <w:rsid w:val="5F6406B5"/>
    <w:rsid w:val="630317D1"/>
    <w:rsid w:val="667A42E4"/>
    <w:rsid w:val="693D0AC0"/>
    <w:rsid w:val="6E4074FA"/>
    <w:rsid w:val="6E631575"/>
    <w:rsid w:val="6EB65FD5"/>
    <w:rsid w:val="6EBC4FEB"/>
    <w:rsid w:val="6F72246E"/>
    <w:rsid w:val="6FED6F56"/>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29</Pages>
  <Words>11403</Words>
  <Characters>11588</Characters>
  <Lines>86</Lines>
  <Paragraphs>24</Paragraphs>
  <TotalTime>34</TotalTime>
  <ScaleCrop>false</ScaleCrop>
  <LinksUpToDate>false</LinksUpToDate>
  <CharactersWithSpaces>11721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黄艳艳</cp:lastModifiedBy>
  <cp:lastPrinted>2022-03-21T00:12:00Z</cp:lastPrinted>
  <dcterms:modified xsi:type="dcterms:W3CDTF">2025-02-14T08:47:34Z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5F349F648BE64B4F9F7513DE9732C624</vt:lpwstr>
  </property>
</Properties>
</file>