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Lines="50" w:beforeAutospacing="0" w:after="313" w:afterLines="100" w:afterAutospacing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color w:val="auto"/>
          <w:sz w:val="40"/>
          <w:szCs w:val="32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color w:val="auto"/>
          <w:sz w:val="40"/>
          <w:szCs w:val="32"/>
        </w:rPr>
        <w:t>广西壮族自治区图书馆</w:t>
      </w:r>
      <w:r>
        <w:rPr>
          <w:rFonts w:hint="eastAsia" w:ascii="方正小标宋简体" w:hAnsi="Times New Roman" w:eastAsia="方正小标宋简体" w:cs="Times New Roman"/>
          <w:color w:val="auto"/>
          <w:sz w:val="40"/>
          <w:szCs w:val="32"/>
          <w:lang w:val="en-US" w:eastAsia="zh-CN"/>
        </w:rPr>
        <w:t>2024</w:t>
      </w:r>
      <w:r>
        <w:rPr>
          <w:rFonts w:hint="eastAsia" w:ascii="方正小标宋简体" w:hAnsi="黑体" w:eastAsia="方正小标宋简体"/>
          <w:color w:val="auto"/>
          <w:sz w:val="40"/>
          <w:szCs w:val="32"/>
        </w:rPr>
        <w:t>年度公开招聘工作人员岗位信息表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08"/>
        <w:gridCol w:w="1382"/>
        <w:gridCol w:w="885"/>
        <w:gridCol w:w="550"/>
        <w:gridCol w:w="1059"/>
        <w:gridCol w:w="2028"/>
        <w:gridCol w:w="675"/>
        <w:gridCol w:w="1339"/>
        <w:gridCol w:w="1414"/>
        <w:gridCol w:w="932"/>
        <w:gridCol w:w="900"/>
        <w:gridCol w:w="525"/>
        <w:gridCol w:w="558"/>
        <w:gridCol w:w="492"/>
        <w:gridCol w:w="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岗位类别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等级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职称或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职（执）业资格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条件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方式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广西壮族自治区图书馆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党务岗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中共党史（含党的学说与党的建设）,马克思主义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6"/>
                <w:kern w:val="0"/>
                <w:sz w:val="18"/>
                <w:szCs w:val="18"/>
                <w:u w:val="none"/>
                <w:lang w:val="en-US" w:eastAsia="zh-CN" w:bidi="ar"/>
              </w:rPr>
              <w:t>理论与思想政治教育,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政治学，中共党史党建学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30岁以下（年龄计算截止至报名首日）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广西壮族自治区图书馆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管理岗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统计学类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研究生学历、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35岁以下（年龄计算截止至报名首日）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广西壮族自治区图书馆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东盟文献研究岗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印度尼西亚语、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老挝语、马来语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35岁以下（年龄计算截止至报名首日）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广西壮族自治区图书馆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修复岗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文物保护技术，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30岁以下（年龄计算截止至报名首日）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+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3425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备注</w:t>
            </w:r>
          </w:p>
        </w:tc>
        <w:tc>
          <w:tcPr>
            <w:tcW w:w="10466" w:type="dxa"/>
            <w:gridSpan w:val="11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1.学历不分全日制或非全日制，均可报名；2.学科类别、专业名称参照《广西壮族自治区公务员考试专业分类指导目录(202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年版)》《教育部学位授予和人才培养学科目录（2018年4月更新版）》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701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F203A"/>
    <w:rsid w:val="7340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2024-05-30T09:06:00Z</dcterms:created>
  <dc:creator>Administrator</dc:creator>
  <cp:lastModifiedBy>廖心星</cp:lastModifiedBy>
  <dcterms:modified xsi:type="dcterms:W3CDTF">2024-05-31T02:46:26Z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CC435BBD6A9D4B8F9F200D79C85DDDFA</vt:lpwstr>
  </property>
</Properties>
</file>